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2020</w:t>
      </w:r>
      <w:r>
        <w:rPr>
          <w:rFonts w:hint="eastAsia"/>
          <w:sz w:val="84"/>
          <w:szCs w:val="84"/>
        </w:rPr>
        <w:t>年屯昌县人民法院</w:t>
      </w:r>
      <w:r>
        <w:rPr>
          <w:rFonts w:hint="eastAsia"/>
          <w:sz w:val="84"/>
          <w:szCs w:val="84"/>
          <w:lang w:eastAsia="zh-CN"/>
        </w:rPr>
        <w:t>部门</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屯昌县人民法院概况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w:t>
      </w:r>
      <w:r>
        <w:rPr>
          <w:rFonts w:hint="eastAsia" w:ascii="仿宋_GB2312" w:hAnsi="黑体" w:eastAsia="仿宋_GB2312" w:cs="仿宋_GB2312"/>
          <w:sz w:val="32"/>
          <w:szCs w:val="32"/>
          <w:lang w:eastAsia="zh-CN"/>
        </w:rPr>
        <w:t>屯昌县人民法院审判工作制度。</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起草</w:t>
      </w:r>
      <w:r>
        <w:rPr>
          <w:rFonts w:hint="eastAsia" w:ascii="仿宋_GB2312" w:hAnsi="黑体" w:eastAsia="仿宋_GB2312" w:cs="仿宋_GB2312"/>
          <w:sz w:val="32"/>
          <w:szCs w:val="32"/>
          <w:lang w:eastAsia="zh-CN"/>
        </w:rPr>
        <w:t>屯昌县人民法院内控制度。</w:t>
      </w:r>
    </w:p>
    <w:p>
      <w:pPr>
        <w:pStyle w:val="7"/>
        <w:numPr>
          <w:ilvl w:val="0"/>
          <w:numId w:val="0"/>
        </w:numPr>
        <w:ind w:leftChars="0"/>
        <w:jc w:val="left"/>
        <w:rPr>
          <w:rFonts w:ascii="黑体" w:hAnsi="黑体" w:eastAsia="黑体" w:cs="仿宋_GB2312"/>
          <w:sz w:val="32"/>
          <w:szCs w:val="32"/>
        </w:rPr>
      </w:pPr>
      <w:r>
        <w:rPr>
          <w:rFonts w:hint="eastAsia" w:ascii="仿宋_GB2312" w:hAnsi="黑体" w:eastAsia="仿宋_GB2312" w:cs="仿宋_GB2312"/>
          <w:kern w:val="2"/>
          <w:sz w:val="32"/>
          <w:szCs w:val="32"/>
          <w:lang w:val="en-US" w:eastAsia="zh-CN" w:bidi="ar-SA"/>
        </w:rPr>
        <w:t xml:space="preserve">    屯昌县人民法院是国家审判机关，完成相关法律法规的审判工作。其主要职责是：依法审理刑事、民事、行政案件，依法执行生效的裁判文书。通过依法打击犯罪、严惩严重犯罪，依法调节民商事关系，监督和支持行政机关依法行政，维护广大人民群众的根本利益。通过强制执行，使生效的法律文书所确定的内容得以兑现，从而彰显法律权威。</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无纳入屯昌县人民法院2020年部门预算编制范围的二级单位。</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我院共有11个内设机构，即办公室、政治部、民庭、刑庭、行政庭、审管办、执行局、立案庭、南吕法庭、新兴法庭、南坤法庭。单位性质：审判机关。</w:t>
      </w:r>
      <w:r>
        <w:rPr>
          <w:rFonts w:hint="eastAsia" w:ascii="仿宋_GB2312" w:hAnsi="黑体" w:eastAsia="仿宋_GB2312" w:cs="仿宋_GB2312"/>
          <w:sz w:val="32"/>
          <w:szCs w:val="32"/>
          <w:lang w:eastAsia="zh-CN"/>
        </w:rPr>
        <w:t>屯昌县</w:t>
      </w:r>
      <w:r>
        <w:rPr>
          <w:rFonts w:hint="eastAsia" w:ascii="仿宋_GB2312" w:hAnsi="黑体" w:eastAsia="仿宋_GB2312" w:cs="仿宋_GB2312"/>
          <w:sz w:val="32"/>
          <w:szCs w:val="32"/>
        </w:rPr>
        <w:t>人民法院20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年部门预算编制范围</w:t>
      </w:r>
      <w:r>
        <w:rPr>
          <w:rFonts w:hint="eastAsia" w:ascii="仿宋_GB2312" w:hAnsi="黑体" w:eastAsia="仿宋_GB2312" w:cs="仿宋_GB2312"/>
          <w:sz w:val="32"/>
          <w:szCs w:val="32"/>
          <w:lang w:eastAsia="zh-CN"/>
        </w:rPr>
        <w:t>只有部门本级</w:t>
      </w:r>
      <w:r>
        <w:rPr>
          <w:rFonts w:hint="eastAsia" w:ascii="仿宋_GB2312" w:hAnsi="黑体" w:eastAsia="仿宋_GB2312" w:cs="仿宋_GB2312"/>
          <w:sz w:val="32"/>
          <w:szCs w:val="32"/>
          <w:lang w:val="en-US" w:eastAsia="zh-CN"/>
        </w:rPr>
        <w:t>1家预算单位,无二级预算单位</w:t>
      </w:r>
      <w:r>
        <w:rPr>
          <w:rFonts w:hint="eastAsia" w:ascii="仿宋_GB2312" w:hAnsi="黑体" w:eastAsia="仿宋_GB2312" w:cs="仿宋_GB2312"/>
          <w:sz w:val="32"/>
          <w:szCs w:val="32"/>
        </w:rPr>
        <w:t>。</w:t>
      </w:r>
    </w:p>
    <w:p>
      <w:pPr>
        <w:jc w:val="left"/>
        <w:rPr>
          <w:rFonts w:hint="eastAsia" w:ascii="仿宋_GB2312" w:hAnsi="黑体" w:eastAsia="仿宋_GB2312" w:cs="仿宋_GB2312"/>
          <w:sz w:val="32"/>
          <w:szCs w:val="32"/>
        </w:rPr>
      </w:pP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jc w:val="left"/>
        <w:rPr>
          <w:rFonts w:hint="eastAsia" w:ascii="仿宋_GB2312" w:hAnsi="黑体" w:eastAsia="仿宋_GB2312" w:cs="仿宋_GB2312"/>
          <w:kern w:val="2"/>
          <w:sz w:val="32"/>
          <w:szCs w:val="32"/>
          <w:lang w:val="en-US" w:eastAsia="zh-CN" w:bidi="ar-SA"/>
        </w:rPr>
      </w:pPr>
      <w:r>
        <w:rPr>
          <w:rFonts w:hint="eastAsia" w:ascii="黑体" w:hAnsi="黑体" w:eastAsia="黑体"/>
          <w:sz w:val="32"/>
          <w:szCs w:val="32"/>
          <w:lang w:val="en-US" w:eastAsia="zh-CN"/>
        </w:rPr>
        <w:t xml:space="preserve">   </w:t>
      </w:r>
      <w:r>
        <w:rPr>
          <w:rFonts w:hint="eastAsia" w:ascii="仿宋_GB2312" w:hAnsi="黑体" w:eastAsia="仿宋_GB2312" w:cs="仿宋_GB2312"/>
          <w:kern w:val="2"/>
          <w:sz w:val="32"/>
          <w:szCs w:val="32"/>
          <w:lang w:val="en-US" w:eastAsia="zh-CN" w:bidi="ar-SA"/>
        </w:rPr>
        <w:t>我院2020年部门预算公开表详见附件1</w:t>
      </w:r>
    </w:p>
    <w:p>
      <w:pPr>
        <w:rPr>
          <w:rFonts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   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2087.02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1758.68</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96.77</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144.21</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87.36</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38.79</w:t>
      </w:r>
      <w:r>
        <w:rPr>
          <w:rFonts w:hint="eastAsia" w:ascii="仿宋_GB2312" w:hAnsi="黑体" w:eastAsia="仿宋_GB2312"/>
          <w:sz w:val="32"/>
          <w:szCs w:val="32"/>
        </w:rPr>
        <w:t>万元，主要是机关事业单位基本养老保险缴费支出</w:t>
      </w:r>
      <w:r>
        <w:rPr>
          <w:rFonts w:hint="eastAsia" w:ascii="仿宋_GB2312" w:hAnsi="黑体" w:eastAsia="仿宋_GB2312"/>
          <w:sz w:val="32"/>
          <w:szCs w:val="32"/>
          <w:lang w:eastAsia="zh-CN"/>
        </w:rPr>
        <w:t>、公务员医疗补助减少。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1758.68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84.27</w:t>
      </w:r>
      <w:r>
        <w:rPr>
          <w:rFonts w:hint="eastAsia" w:ascii="仿宋_GB2312" w:hAnsi="黑体" w:eastAsia="仿宋_GB2312"/>
          <w:sz w:val="32"/>
          <w:szCs w:val="32"/>
        </w:rPr>
        <w:t>%；教育（类）</w:t>
      </w:r>
      <w:r>
        <w:rPr>
          <w:rFonts w:hint="eastAsia" w:ascii="仿宋_GB2312" w:hAnsi="黑体" w:eastAsia="仿宋_GB2312" w:cs="仿宋_GB2312"/>
          <w:sz w:val="32"/>
          <w:szCs w:val="32"/>
        </w:rPr>
        <w:t>支出0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96.77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4.64</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144.21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6.91</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87.36</w:t>
      </w:r>
      <w:r>
        <w:rPr>
          <w:rFonts w:hint="eastAsia" w:ascii="仿宋_GB2312" w:hAnsi="黑体" w:eastAsia="仿宋_GB2312"/>
          <w:sz w:val="32"/>
          <w:szCs w:val="32"/>
        </w:rPr>
        <w:t>万元，占4.</w:t>
      </w: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p>
    <w:p>
      <w:pPr>
        <w:ind w:firstLine="640"/>
        <w:jc w:val="left"/>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一般公共服务（类）人大事务（款）行政运行（项）20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1489.28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212.36</w:t>
      </w:r>
      <w:r>
        <w:rPr>
          <w:rFonts w:hint="eastAsia" w:ascii="仿宋_GB2312" w:hAnsi="黑体" w:eastAsia="仿宋_GB2312"/>
          <w:sz w:val="32"/>
          <w:szCs w:val="32"/>
        </w:rPr>
        <w:t>万元，主要</w:t>
      </w:r>
      <w:r>
        <w:rPr>
          <w:rFonts w:hint="eastAsia" w:ascii="仿宋_GB2312" w:hAnsi="黑体" w:eastAsia="仿宋_GB2312"/>
          <w:sz w:val="32"/>
          <w:szCs w:val="32"/>
          <w:lang w:val="en-US" w:eastAsia="zh-CN"/>
        </w:rPr>
        <w:t>1、人员经费增长29.39万元，2、公用经费减少35.23万元，3、项目支出增长218.20万元。</w:t>
      </w:r>
    </w:p>
    <w:p>
      <w:pPr>
        <w:rPr>
          <w:rFonts w:ascii="仿宋_GB2312" w:hAnsi="黑体" w:eastAsia="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 xml:space="preserve"> 一般公共服务（类）法院（款）案件审判（项）20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75.85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25.84</w:t>
      </w:r>
      <w:r>
        <w:rPr>
          <w:rFonts w:hint="eastAsia" w:ascii="仿宋_GB2312" w:hAnsi="黑体" w:eastAsia="仿宋_GB2312"/>
          <w:sz w:val="32"/>
          <w:szCs w:val="32"/>
        </w:rPr>
        <w:t>万元，主要是由于我院工作计划及实际需要调整所致。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一般公共服务（类）法院（款）案件执行（项）20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w:t>
      </w:r>
      <w:r>
        <w:rPr>
          <w:rFonts w:hint="eastAsia" w:ascii="仿宋_GB2312" w:hAnsi="黑体" w:eastAsia="仿宋_GB2312"/>
          <w:sz w:val="32"/>
          <w:szCs w:val="32"/>
          <w:lang w:eastAsia="zh-CN"/>
        </w:rPr>
        <w:t>执行工作按照计划开展</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一般公共服务（类）法院（款）其他法院支出（项）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447.55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1、2019年新增财务规范化试点配套资金，2020年无此项目，2、</w:t>
      </w:r>
      <w:r>
        <w:rPr>
          <w:rFonts w:hint="eastAsia" w:ascii="仿宋_GB2312" w:hAnsi="黑体" w:eastAsia="仿宋_GB2312"/>
          <w:sz w:val="32"/>
          <w:szCs w:val="32"/>
        </w:rPr>
        <w:t>由于</w:t>
      </w:r>
      <w:r>
        <w:rPr>
          <w:rFonts w:hint="eastAsia" w:ascii="仿宋_GB2312" w:hAnsi="黑体" w:eastAsia="仿宋_GB2312"/>
          <w:sz w:val="32"/>
          <w:szCs w:val="32"/>
          <w:lang w:eastAsia="zh-CN"/>
        </w:rPr>
        <w:t>预算指标口径调整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一般公共服务（类）法院（款）</w:t>
      </w:r>
      <w:r>
        <w:rPr>
          <w:rFonts w:hint="eastAsia" w:ascii="仿宋_GB2312" w:hAnsi="黑体" w:eastAsia="仿宋_GB2312" w:cs="仿宋_GB2312"/>
          <w:sz w:val="32"/>
          <w:szCs w:val="32"/>
          <w:lang w:eastAsia="zh-CN"/>
        </w:rPr>
        <w:t>两庭建设</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48</w:t>
      </w:r>
      <w:r>
        <w:rPr>
          <w:rFonts w:hint="eastAsia" w:ascii="仿宋_GB2312" w:hAnsi="黑体" w:eastAsia="仿宋_GB2312"/>
          <w:sz w:val="32"/>
          <w:szCs w:val="32"/>
        </w:rPr>
        <w:t>万元，</w:t>
      </w:r>
      <w:r>
        <w:rPr>
          <w:rFonts w:hint="eastAsia" w:ascii="仿宋_GB2312" w:hAnsi="黑体" w:eastAsia="仿宋_GB2312" w:cs="仿宋_GB2312"/>
          <w:sz w:val="32"/>
          <w:szCs w:val="32"/>
        </w:rPr>
        <w:t>一般公共服务（类）法院（款）</w:t>
      </w:r>
      <w:r>
        <w:rPr>
          <w:rFonts w:hint="eastAsia" w:ascii="仿宋_GB2312" w:hAnsi="黑体" w:eastAsia="仿宋_GB2312" w:cs="仿宋_GB2312"/>
          <w:sz w:val="32"/>
          <w:szCs w:val="32"/>
          <w:lang w:eastAsia="zh-CN"/>
        </w:rPr>
        <w:t>一般行政管理实务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2020年预算数为143.55万元，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191.55</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预算指标口径调整</w:t>
      </w:r>
      <w:r>
        <w:rPr>
          <w:rFonts w:hint="eastAsia" w:ascii="仿宋_GB2312" w:hAnsi="黑体" w:eastAsia="仿宋_GB2312"/>
          <w:sz w:val="32"/>
          <w:szCs w:val="32"/>
        </w:rPr>
        <w:t>。</w:t>
      </w:r>
    </w:p>
    <w:p>
      <w:pPr>
        <w:rPr>
          <w:rFonts w:ascii="仿宋_GB2312" w:hAnsi="黑体" w:eastAsia="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一般公共服务（类）法院（款）机关事业单位基本养老保险缴费支出（项）20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96.77</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23.23</w:t>
      </w:r>
      <w:r>
        <w:rPr>
          <w:rFonts w:hint="eastAsia" w:ascii="仿宋_GB2312" w:hAnsi="黑体" w:eastAsia="仿宋_GB2312"/>
          <w:sz w:val="32"/>
          <w:szCs w:val="32"/>
        </w:rPr>
        <w:t>万元，主要是由于离休费减少所致。</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一般公共服务（类）法院（款）行政单位医疗（项）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51.41</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数增加</w:t>
      </w:r>
      <w:r>
        <w:rPr>
          <w:rFonts w:hint="eastAsia" w:ascii="仿宋_GB2312" w:hAnsi="黑体" w:eastAsia="仿宋_GB2312"/>
          <w:sz w:val="32"/>
          <w:szCs w:val="32"/>
          <w:lang w:val="en-US" w:eastAsia="zh-CN"/>
        </w:rPr>
        <w:t>0.41</w:t>
      </w:r>
      <w:r>
        <w:rPr>
          <w:rFonts w:hint="eastAsia" w:ascii="仿宋_GB2312" w:hAnsi="黑体" w:eastAsia="仿宋_GB2312"/>
          <w:sz w:val="32"/>
          <w:szCs w:val="32"/>
        </w:rPr>
        <w:t>万元，主要是由于人员</w:t>
      </w:r>
      <w:r>
        <w:rPr>
          <w:rFonts w:hint="eastAsia" w:ascii="仿宋_GB2312" w:hAnsi="黑体" w:eastAsia="仿宋_GB2312"/>
          <w:sz w:val="32"/>
          <w:szCs w:val="32"/>
          <w:lang w:eastAsia="zh-CN"/>
        </w:rPr>
        <w:t>工资增加</w:t>
      </w:r>
      <w:r>
        <w:rPr>
          <w:rFonts w:hint="eastAsia" w:ascii="仿宋_GB2312" w:hAnsi="黑体" w:eastAsia="仿宋_GB2312"/>
          <w:sz w:val="32"/>
          <w:szCs w:val="32"/>
        </w:rPr>
        <w:t>所致。</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一般公共服务（类）法院（款）</w:t>
      </w:r>
      <w:r>
        <w:rPr>
          <w:rFonts w:hint="eastAsia" w:ascii="仿宋_GB2312" w:hAnsi="黑体" w:eastAsia="仿宋_GB2312" w:cs="仿宋_GB2312"/>
          <w:sz w:val="32"/>
          <w:szCs w:val="32"/>
          <w:lang w:eastAsia="zh-CN"/>
        </w:rPr>
        <w:t>公务员</w:t>
      </w:r>
      <w:r>
        <w:rPr>
          <w:rFonts w:hint="eastAsia" w:ascii="仿宋_GB2312" w:hAnsi="黑体" w:eastAsia="仿宋_GB2312" w:cs="仿宋_GB2312"/>
          <w:sz w:val="32"/>
          <w:szCs w:val="32"/>
        </w:rPr>
        <w:t>医疗</w:t>
      </w:r>
      <w:r>
        <w:rPr>
          <w:rFonts w:hint="eastAsia" w:ascii="仿宋_GB2312" w:hAnsi="黑体" w:eastAsia="仿宋_GB2312" w:cs="仿宋_GB2312"/>
          <w:sz w:val="32"/>
          <w:szCs w:val="32"/>
          <w:lang w:eastAsia="zh-CN"/>
        </w:rPr>
        <w:t>补助</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92.80</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数增加</w:t>
      </w:r>
      <w:r>
        <w:rPr>
          <w:rFonts w:hint="eastAsia" w:ascii="仿宋_GB2312" w:hAnsi="黑体" w:eastAsia="仿宋_GB2312"/>
          <w:sz w:val="32"/>
          <w:szCs w:val="32"/>
          <w:lang w:val="en-US" w:eastAsia="zh-CN"/>
        </w:rPr>
        <w:t>3.30</w:t>
      </w:r>
      <w:r>
        <w:rPr>
          <w:rFonts w:hint="eastAsia" w:ascii="仿宋_GB2312" w:hAnsi="黑体" w:eastAsia="仿宋_GB2312"/>
          <w:sz w:val="32"/>
          <w:szCs w:val="32"/>
        </w:rPr>
        <w:t>万元，主要由于人员</w:t>
      </w:r>
      <w:r>
        <w:rPr>
          <w:rFonts w:hint="eastAsia" w:ascii="仿宋_GB2312" w:hAnsi="黑体" w:eastAsia="仿宋_GB2312"/>
          <w:sz w:val="32"/>
          <w:szCs w:val="32"/>
          <w:lang w:eastAsia="zh-CN"/>
        </w:rPr>
        <w:t>工资增加</w:t>
      </w:r>
      <w:r>
        <w:rPr>
          <w:rFonts w:hint="eastAsia" w:ascii="仿宋_GB2312" w:hAnsi="黑体" w:eastAsia="仿宋_GB2312"/>
          <w:sz w:val="32"/>
          <w:szCs w:val="32"/>
        </w:rPr>
        <w:t>所致。</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一般公共服务（类）法院（款）住房公积金（项）20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87.36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1.48</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住房公积金计提基础政策变化</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highlight w:val="none"/>
        </w:rPr>
        <w:t>三、</w:t>
      </w:r>
      <w:r>
        <w:rPr>
          <w:rFonts w:hint="eastAsia" w:ascii="黑体" w:hAnsi="黑体" w:eastAsia="黑体"/>
          <w:sz w:val="32"/>
          <w:szCs w:val="32"/>
        </w:rPr>
        <w:t>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1599.43</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1214.22</w:t>
      </w:r>
      <w:r>
        <w:rPr>
          <w:rFonts w:hint="eastAsia" w:ascii="仿宋_GB2312" w:hAnsi="黑体" w:eastAsia="仿宋_GB2312"/>
          <w:sz w:val="32"/>
          <w:szCs w:val="32"/>
        </w:rPr>
        <w:t>万元，主要包括：基本工资、津贴补贴、奖金、机关事业单位基本养老保险缴费、城镇职工基本医疗保险缴费、公务员医疗补助缴费、其他社会保障缴费、住房公积金、医疗费、其他工资福利支出</w:t>
      </w:r>
      <w:r>
        <w:rPr>
          <w:rFonts w:hint="eastAsia" w:ascii="仿宋_GB2312" w:hAnsi="黑体" w:eastAsia="仿宋_GB2312"/>
          <w:sz w:val="32"/>
          <w:szCs w:val="32"/>
          <w:lang w:eastAsia="zh-CN"/>
        </w:rPr>
        <w:t>、奖励金、其他对个人和家庭的补助。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385.21</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费、水费、电费、邮电费、物业管理费、差旅费、</w:t>
      </w:r>
      <w:r>
        <w:rPr>
          <w:rFonts w:hint="eastAsia" w:ascii="仿宋_GB2312" w:hAnsi="黑体" w:eastAsia="仿宋_GB2312"/>
          <w:sz w:val="32"/>
          <w:szCs w:val="32"/>
          <w:lang w:eastAsia="zh-CN"/>
        </w:rPr>
        <w:t>维修（护）费、培训费、公务接待费、专用材料费、被装购置费、专用燃料费、委托业务费</w:t>
      </w:r>
      <w:r>
        <w:rPr>
          <w:rFonts w:hint="eastAsia" w:ascii="仿宋_GB2312" w:hAnsi="黑体" w:eastAsia="仿宋_GB2312"/>
          <w:sz w:val="32"/>
          <w:szCs w:val="32"/>
        </w:rPr>
        <w:t>、工会经费、公务用车运行维护费、其他交通费用、其他商品和服务支出</w:t>
      </w:r>
      <w:r>
        <w:rPr>
          <w:rFonts w:hint="eastAsia" w:ascii="仿宋_GB2312" w:hAnsi="黑体" w:eastAsia="仿宋_GB2312"/>
          <w:sz w:val="32"/>
          <w:szCs w:val="32"/>
          <w:lang w:eastAsia="zh-CN"/>
        </w:rPr>
        <w:t>、办公设备购置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highlight w:val="none"/>
          <w:shd w:val="clear" w:color="auto" w:fill="FFFFFF"/>
        </w:rPr>
        <w:t>四、</w:t>
      </w:r>
      <w:r>
        <w:rPr>
          <w:rFonts w:hint="eastAsia" w:ascii="黑体" w:hAnsi="黑体" w:eastAsia="黑体"/>
          <w:sz w:val="32"/>
          <w:szCs w:val="32"/>
        </w:rPr>
        <w:t>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44.25</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val="en-US" w:eastAsia="zh-CN"/>
        </w:rPr>
        <w:t>2020</w:t>
      </w:r>
      <w:r>
        <w:rPr>
          <w:rFonts w:hint="eastAsia" w:ascii="Times New Roman" w:hAnsi="Times New Roman" w:eastAsia="仿宋_GB2312" w:cs="Times New Roman"/>
          <w:sz w:val="32"/>
          <w:shd w:val="clear" w:color="auto" w:fill="FFFFFF"/>
          <w:lang w:val="en-US" w:eastAsia="zh-CN"/>
        </w:rPr>
        <w:t>年无出国境计划</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32.25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32.25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13.95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加强车辆管理和使用保养，各类公务用车燃油费、维修等费用有所下降</w:t>
      </w:r>
      <w:r>
        <w:rPr>
          <w:rFonts w:hint="eastAsia" w:ascii="Times New Roman" w:hAnsi="Times New Roman" w:eastAsia="仿宋_GB2312" w:cs="Times New Roman"/>
          <w:sz w:val="32"/>
          <w:shd w:val="clear" w:color="auto" w:fill="FFFFFF"/>
          <w:lang w:val="en-US" w:eastAsia="zh-CN"/>
        </w:rPr>
        <w:t>。</w:t>
      </w:r>
    </w:p>
    <w:p>
      <w:pPr>
        <w:ind w:firstLine="640" w:firstLineChars="200"/>
        <w:rPr>
          <w:rFonts w:hint="eastAsia" w:ascii="Times New Roman" w:hAnsi="Times New Roman" w:eastAsia="仿宋_GB2312" w:cs="Times New Roman"/>
          <w:sz w:val="32"/>
          <w:highlight w:val="none"/>
          <w:shd w:val="clear" w:color="auto" w:fill="FFFFFF"/>
          <w:lang w:val="en-US"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12</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25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严格执行八项规定，减少公务接待费支出</w:t>
      </w:r>
      <w:r>
        <w:rPr>
          <w:rFonts w:hint="eastAsia" w:ascii="Times New Roman" w:hAnsi="Times New Roman" w:eastAsia="仿宋_GB2312" w:cs="Times New Roman"/>
          <w:sz w:val="32"/>
          <w:shd w:val="clear" w:color="auto" w:fill="FFFFFF"/>
          <w:lang w:val="en-US" w:eastAsia="zh-CN"/>
        </w:rPr>
        <w:t>。</w:t>
      </w:r>
      <w:bookmarkStart w:id="0" w:name="_GoBack"/>
      <w:r>
        <w:rPr>
          <w:rFonts w:hint="eastAsia" w:ascii="Times New Roman" w:hAnsi="Times New Roman" w:eastAsia="仿宋_GB2312" w:cs="Times New Roman"/>
          <w:sz w:val="32"/>
          <w:highlight w:val="none"/>
          <w:shd w:val="clear" w:color="auto" w:fill="FFFFFF"/>
          <w:lang w:val="en-US" w:eastAsia="zh-CN"/>
        </w:rPr>
        <w:t>公务接待256批，共计2207人。</w:t>
      </w:r>
    </w:p>
    <w:bookmarkEnd w:id="0"/>
    <w:p>
      <w:pPr>
        <w:ind w:firstLine="640" w:firstLineChars="200"/>
        <w:rPr>
          <w:rFonts w:hint="eastAsia" w:ascii="Times New Roman" w:hAnsi="Times New Roman" w:eastAsia="仿宋_GB2312" w:cs="Times New Roman"/>
          <w:sz w:val="32"/>
          <w:highlight w:val="yellow"/>
          <w:shd w:val="clear" w:color="auto" w:fill="FFFFFF"/>
          <w:lang w:val="en-US" w:eastAsia="zh-CN"/>
        </w:rPr>
      </w:pPr>
      <w:r>
        <w:rPr>
          <w:rFonts w:hint="eastAsia" w:ascii="仿宋_GB2312" w:hAnsi="黑体" w:eastAsia="仿宋_GB2312"/>
          <w:sz w:val="32"/>
          <w:szCs w:val="32"/>
        </w:rPr>
        <w:t>（二）屯昌县人民法院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屯昌县人民法院无20</w:t>
      </w:r>
      <w:r>
        <w:rPr>
          <w:rFonts w:hint="eastAsia" w:ascii="仿宋_GB2312" w:hAnsi="黑体" w:eastAsia="仿宋_GB2312" w:cs="Times New Roman"/>
          <w:sz w:val="32"/>
          <w:szCs w:val="32"/>
          <w:lang w:val="en-US" w:eastAsia="zh-CN"/>
        </w:rPr>
        <w:t>20</w:t>
      </w:r>
      <w:r>
        <w:rPr>
          <w:rFonts w:hint="eastAsia" w:ascii="仿宋_GB2312" w:hAnsi="黑体" w:eastAsia="仿宋_GB2312" w:cs="Times New Roman"/>
          <w:sz w:val="32"/>
          <w:szCs w:val="32"/>
        </w:rPr>
        <w:t>年政府性基金预算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highlight w:val="none"/>
          <w:shd w:val="clear" w:color="auto" w:fill="FFFFFF"/>
        </w:rPr>
        <w:t>六、</w:t>
      </w:r>
      <w:r>
        <w:rPr>
          <w:rFonts w:hint="eastAsia" w:ascii="黑体" w:hAnsi="黑体" w:eastAsia="黑体" w:cs="Times New Roman"/>
          <w:sz w:val="32"/>
          <w:shd w:val="clear" w:color="auto" w:fill="FFFFFF"/>
        </w:rPr>
        <w:t>关于屯昌县人民法院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sz w:val="32"/>
          <w:szCs w:val="32"/>
        </w:rPr>
        <w:t>一般公共预算收入；支出包括：公共安全支出、社会保障和就业支出、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支出、住房保障支出。屯昌县人民法院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highlight w:val="none"/>
          <w:shd w:val="clear" w:color="auto" w:fill="FFFFFF"/>
        </w:rPr>
        <w:t>七</w:t>
      </w:r>
      <w:r>
        <w:rPr>
          <w:rFonts w:hint="eastAsia" w:ascii="黑体" w:hAnsi="黑体" w:eastAsia="黑体" w:cs="Times New Roman"/>
          <w:sz w:val="32"/>
          <w:shd w:val="clear" w:color="auto" w:fill="FFFFFF"/>
        </w:rPr>
        <w:t>、关于屯昌县人民法院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万元；一般公共预算收入</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其他财政性资金收</w:t>
      </w:r>
      <w:r>
        <w:rPr>
          <w:rFonts w:hint="eastAsia" w:ascii="仿宋_GB2312" w:hAnsi="黑体" w:eastAsia="仿宋_GB2312"/>
          <w:sz w:val="32"/>
          <w:szCs w:val="32"/>
        </w:rPr>
        <w:t>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收回存量资金收入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r>
        <w:rPr>
          <w:rFonts w:hint="eastAsia" w:ascii="仿宋_GB2312" w:hAnsi="黑体" w:eastAsia="仿宋_GB2312"/>
          <w:sz w:val="32"/>
          <w:szCs w:val="32"/>
          <w:lang w:eastAsia="zh-CN"/>
        </w:rPr>
        <w:t>事业收入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r>
        <w:rPr>
          <w:rFonts w:hint="eastAsia" w:ascii="仿宋_GB2312" w:hAnsi="黑体" w:eastAsia="仿宋_GB2312"/>
          <w:sz w:val="32"/>
          <w:szCs w:val="32"/>
          <w:lang w:eastAsia="zh-CN"/>
        </w:rPr>
        <w:t>事业单位经营收入</w:t>
      </w:r>
      <w:r>
        <w:rPr>
          <w:rFonts w:hint="eastAsia" w:ascii="仿宋_GB2312" w:hAnsi="黑体" w:eastAsia="仿宋_GB2312"/>
          <w:sz w:val="32"/>
          <w:szCs w:val="32"/>
          <w:lang w:val="en-US" w:eastAsia="zh-CN"/>
        </w:rPr>
        <w:t>0万元；其他收入0万元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highlight w:val="none"/>
          <w:shd w:val="clear" w:color="auto" w:fill="FFFFFF"/>
        </w:rPr>
        <w:t>八</w:t>
      </w:r>
      <w:r>
        <w:rPr>
          <w:rFonts w:hint="eastAsia" w:ascii="黑体" w:hAnsi="黑体" w:eastAsia="黑体" w:cs="Times New Roman"/>
          <w:sz w:val="32"/>
          <w:shd w:val="clear" w:color="auto" w:fill="FFFFFF"/>
        </w:rPr>
        <w:t>、关于屯昌县人民法院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2087.02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1599.43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76.64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487.59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23.36</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38.79</w:t>
      </w:r>
      <w:r>
        <w:rPr>
          <w:rFonts w:hint="eastAsia" w:ascii="仿宋_GB2312" w:hAnsi="黑体" w:eastAsia="仿宋_GB2312"/>
          <w:kern w:val="0"/>
          <w:sz w:val="32"/>
          <w:szCs w:val="32"/>
        </w:rPr>
        <w:t>万元，主要是</w:t>
      </w:r>
      <w:r>
        <w:rPr>
          <w:rFonts w:hint="eastAsia" w:ascii="仿宋_GB2312" w:hAnsi="黑体" w:eastAsia="仿宋_GB2312"/>
          <w:kern w:val="0"/>
          <w:sz w:val="32"/>
          <w:szCs w:val="32"/>
          <w:lang w:eastAsia="zh-CN"/>
        </w:rPr>
        <w:t>加强费用管理，严格控制三公经费、差旅、会议、培训费等费用</w:t>
      </w:r>
      <w:r>
        <w:rPr>
          <w:rFonts w:hint="eastAsia" w:ascii="仿宋_GB2312" w:hAnsi="黑体" w:eastAsia="仿宋_GB2312"/>
          <w:kern w:val="0"/>
          <w:sz w:val="32"/>
          <w:szCs w:val="32"/>
        </w:rPr>
        <w:t>。</w:t>
      </w:r>
    </w:p>
    <w:p>
      <w:pPr>
        <w:ind w:firstLine="640" w:firstLineChars="20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highlight w:val="none"/>
          <w:shd w:val="clear" w:color="auto" w:fill="FFFFFF"/>
        </w:rPr>
        <w:t>九</w:t>
      </w:r>
      <w:r>
        <w:rPr>
          <w:rFonts w:hint="eastAsia" w:ascii="黑体" w:hAnsi="黑体" w:eastAsia="黑体" w:cs="Times New Roman"/>
          <w:sz w:val="32"/>
          <w:shd w:val="clear" w:color="auto" w:fill="FFFFFF"/>
        </w:rPr>
        <w:t>、其他重要事项的情况说明</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（一）机关运行经费</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lang w:val="en-US" w:eastAsia="zh-CN"/>
        </w:rPr>
        <w:t>2020</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highlight w:val="none"/>
        </w:rPr>
        <w:t>本级的机关运行经费预算</w:t>
      </w:r>
      <w:r>
        <w:rPr>
          <w:rFonts w:hint="eastAsia" w:ascii="仿宋_GB2312" w:hAnsi="黑体" w:eastAsia="仿宋_GB2312" w:cs="仿宋_GB2312"/>
          <w:sz w:val="32"/>
          <w:szCs w:val="32"/>
          <w:highlight w:val="none"/>
          <w:lang w:val="en-US" w:eastAsia="zh-CN"/>
        </w:rPr>
        <w:t>385.21</w:t>
      </w:r>
      <w:r>
        <w:rPr>
          <w:rFonts w:hint="eastAsia" w:ascii="仿宋_GB2312" w:hAnsi="黑体" w:eastAsia="仿宋_GB2312"/>
          <w:sz w:val="32"/>
          <w:szCs w:val="32"/>
          <w:highlight w:val="none"/>
        </w:rPr>
        <w:t>万元。</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（二）政府采购情况</w:t>
      </w:r>
    </w:p>
    <w:p>
      <w:pPr>
        <w:ind w:firstLine="640"/>
        <w:rPr>
          <w:rFonts w:ascii="仿宋_GB2312" w:hAnsi="黑体" w:eastAsia="仿宋_GB2312"/>
          <w:sz w:val="32"/>
          <w:szCs w:val="32"/>
          <w:highlight w:val="yellow"/>
        </w:rPr>
      </w:pPr>
      <w:r>
        <w:rPr>
          <w:rFonts w:hint="eastAsia" w:ascii="仿宋_GB2312" w:hAnsi="黑体" w:eastAsia="仿宋_GB2312" w:cs="仿宋_GB2312"/>
          <w:sz w:val="32"/>
          <w:szCs w:val="32"/>
          <w:highlight w:val="none"/>
          <w:lang w:val="en-US" w:eastAsia="zh-CN"/>
        </w:rPr>
        <w:t>2020</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highlight w:val="none"/>
        </w:rPr>
        <w:t>本级及下属各预算单位政府采购预算总额</w:t>
      </w:r>
      <w:r>
        <w:rPr>
          <w:rFonts w:hint="eastAsia" w:ascii="仿宋_GB2312" w:hAnsi="黑体" w:eastAsia="仿宋_GB2312" w:cs="仿宋_GB2312"/>
          <w:sz w:val="32"/>
          <w:szCs w:val="32"/>
          <w:highlight w:val="none"/>
          <w:lang w:val="en-US" w:eastAsia="zh-CN"/>
        </w:rPr>
        <w:t>126.44</w:t>
      </w:r>
      <w:r>
        <w:rPr>
          <w:rFonts w:hint="eastAsia" w:ascii="仿宋_GB2312" w:hAnsi="黑体" w:eastAsia="仿宋_GB2312"/>
          <w:sz w:val="32"/>
          <w:szCs w:val="32"/>
          <w:highlight w:val="none"/>
        </w:rPr>
        <w:t>万元，其中：政府采购货物预算</w:t>
      </w:r>
      <w:r>
        <w:rPr>
          <w:rFonts w:hint="eastAsia" w:ascii="仿宋_GB2312" w:hAnsi="黑体" w:eastAsia="仿宋_GB2312" w:cs="仿宋_GB2312"/>
          <w:sz w:val="32"/>
          <w:szCs w:val="32"/>
          <w:highlight w:val="none"/>
          <w:lang w:val="en-US" w:eastAsia="zh-CN"/>
        </w:rPr>
        <w:t>5</w:t>
      </w:r>
      <w:r>
        <w:rPr>
          <w:rFonts w:hint="eastAsia" w:ascii="仿宋_GB2312" w:hAnsi="黑体" w:eastAsia="仿宋_GB2312"/>
          <w:sz w:val="32"/>
          <w:szCs w:val="32"/>
          <w:highlight w:val="none"/>
        </w:rPr>
        <w:t>万元，政府采购工程预算</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万元，政府采购服务预算</w:t>
      </w:r>
      <w:r>
        <w:rPr>
          <w:rFonts w:hint="eastAsia" w:ascii="仿宋_GB2312" w:hAnsi="黑体" w:eastAsia="仿宋_GB2312"/>
          <w:sz w:val="32"/>
          <w:szCs w:val="32"/>
          <w:highlight w:val="none"/>
          <w:lang w:val="en-US" w:eastAsia="zh-CN"/>
        </w:rPr>
        <w:t>121.44</w:t>
      </w:r>
      <w:r>
        <w:rPr>
          <w:rFonts w:hint="eastAsia" w:ascii="仿宋_GB2312" w:hAnsi="黑体" w:eastAsia="仿宋_GB2312"/>
          <w:sz w:val="32"/>
          <w:szCs w:val="32"/>
          <w:highlight w:val="none"/>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年12月31日，屯昌县人民法院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w:t>
      </w:r>
      <w:r>
        <w:rPr>
          <w:rFonts w:hint="eastAsia" w:ascii="仿宋_GB2312" w:hAnsi="黑体" w:eastAsia="仿宋_GB2312" w:cs="仿宋_GB2312"/>
          <w:sz w:val="32"/>
          <w:szCs w:val="32"/>
          <w:lang w:eastAsia="zh-CN"/>
        </w:rPr>
        <w:t>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（四）绩效目标设置情况</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lang w:val="en-US" w:eastAsia="zh-CN"/>
        </w:rPr>
        <w:t>20</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highlight w:val="none"/>
          <w:lang w:val="en-US" w:eastAsia="zh-CN"/>
        </w:rPr>
        <w:t>2</w:t>
      </w:r>
      <w:r>
        <w:rPr>
          <w:rFonts w:hint="eastAsia" w:ascii="仿宋_GB2312" w:hAnsi="黑体" w:eastAsia="仿宋_GB2312" w:cs="仿宋_GB2312"/>
          <w:sz w:val="32"/>
          <w:szCs w:val="32"/>
          <w:highlight w:val="none"/>
        </w:rPr>
        <w:t>个项目实行绩效目标管理，涉及一般公共预算</w:t>
      </w:r>
      <w:r>
        <w:rPr>
          <w:rFonts w:hint="eastAsia" w:ascii="仿宋_GB2312" w:hAnsi="黑体" w:eastAsia="仿宋_GB2312" w:cs="仿宋_GB2312"/>
          <w:sz w:val="32"/>
          <w:szCs w:val="32"/>
          <w:highlight w:val="none"/>
          <w:lang w:val="en-US" w:eastAsia="zh-CN"/>
        </w:rPr>
        <w:t>317.75</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聘用制书记员管理</w:t>
      </w:r>
      <w:r>
        <w:rPr>
          <w:rFonts w:hint="eastAsia" w:ascii="仿宋_GB2312" w:hAnsi="黑体" w:eastAsia="仿宋_GB2312"/>
          <w:sz w:val="32"/>
          <w:szCs w:val="32"/>
          <w:highlight w:val="none"/>
          <w:lang w:val="en-US" w:eastAsia="zh-CN"/>
        </w:rPr>
        <w:t>216.20</w:t>
      </w:r>
      <w:r>
        <w:rPr>
          <w:rFonts w:hint="eastAsia" w:ascii="仿宋_GB2312" w:hAnsi="黑体" w:eastAsia="仿宋_GB2312"/>
          <w:sz w:val="32"/>
          <w:szCs w:val="32"/>
          <w:highlight w:val="none"/>
        </w:rPr>
        <w:t>万元，综合</w:t>
      </w:r>
      <w:r>
        <w:rPr>
          <w:rFonts w:hint="eastAsia" w:ascii="仿宋_GB2312" w:hAnsi="黑体" w:eastAsia="仿宋_GB2312"/>
          <w:sz w:val="32"/>
          <w:szCs w:val="32"/>
          <w:highlight w:val="none"/>
          <w:lang w:eastAsia="zh-CN"/>
        </w:rPr>
        <w:t>事务</w:t>
      </w:r>
      <w:r>
        <w:rPr>
          <w:rFonts w:hint="eastAsia" w:ascii="仿宋_GB2312" w:hAnsi="黑体" w:eastAsia="仿宋_GB2312"/>
          <w:sz w:val="32"/>
          <w:szCs w:val="32"/>
          <w:highlight w:val="none"/>
          <w:lang w:val="en-US" w:eastAsia="zh-CN"/>
        </w:rPr>
        <w:t>101.55</w:t>
      </w:r>
      <w:r>
        <w:rPr>
          <w:rFonts w:hint="eastAsia" w:ascii="仿宋_GB2312" w:hAnsi="黑体" w:eastAsia="仿宋_GB2312"/>
          <w:sz w:val="32"/>
          <w:szCs w:val="32"/>
          <w:highlight w:val="none"/>
        </w:rPr>
        <w:t>万元。</w:t>
      </w:r>
    </w:p>
    <w:p>
      <w:pPr>
        <w:ind w:firstLine="640" w:firstLineChars="200"/>
        <w:rPr>
          <w:rFonts w:ascii="仿宋_GB2312" w:hAnsi="黑体" w:eastAsia="仿宋_GB2312"/>
          <w:sz w:val="32"/>
          <w:szCs w:val="32"/>
        </w:rPr>
      </w:pP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黑体" w:eastAsia="仿宋_GB2312"/>
          <w:sz w:val="32"/>
          <w:szCs w:val="32"/>
          <w:highlight w:val="none"/>
        </w:rPr>
        <w:t>一、</w:t>
      </w:r>
      <w:r>
        <w:rPr>
          <w:rFonts w:hint="eastAsia" w:ascii="仿宋_GB2312" w:hAnsi="宋体" w:eastAsia="仿宋_GB2312" w:cs="宋体"/>
          <w:color w:val="000000"/>
          <w:kern w:val="0"/>
          <w:sz w:val="32"/>
          <w:szCs w:val="32"/>
          <w:highlight w:val="none"/>
        </w:rPr>
        <w:t>一般</w:t>
      </w:r>
      <w:r>
        <w:rPr>
          <w:rFonts w:hint="eastAsia" w:ascii="仿宋_GB2312" w:hAnsi="宋体" w:eastAsia="仿宋_GB2312" w:cs="宋体"/>
          <w:color w:val="000000"/>
          <w:kern w:val="0"/>
          <w:sz w:val="32"/>
          <w:szCs w:val="32"/>
        </w:rPr>
        <w:t>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黑体" w:eastAsia="仿宋_GB2312"/>
          <w:sz w:val="32"/>
          <w:szCs w:val="32"/>
          <w:highlight w:val="none"/>
        </w:rPr>
        <w:t>二、政府</w:t>
      </w:r>
      <w:r>
        <w:rPr>
          <w:rFonts w:hint="eastAsia" w:ascii="仿宋_GB2312" w:hAnsi="黑体" w:eastAsia="仿宋_GB2312"/>
          <w:sz w:val="32"/>
          <w:szCs w:val="32"/>
        </w:rPr>
        <w:t>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三、其</w:t>
      </w:r>
      <w:r>
        <w:rPr>
          <w:rFonts w:hint="eastAsia" w:ascii="仿宋_GB2312" w:hAnsi="宋体" w:eastAsia="仿宋_GB2312" w:cs="宋体"/>
          <w:color w:val="000000"/>
          <w:kern w:val="0"/>
          <w:sz w:val="32"/>
          <w:szCs w:val="32"/>
        </w:rPr>
        <w:t>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四</w:t>
      </w:r>
      <w:r>
        <w:rPr>
          <w:rFonts w:hint="eastAsia" w:ascii="仿宋_GB2312" w:hAnsi="宋体" w:eastAsia="仿宋_GB2312" w:cs="宋体"/>
          <w:color w:val="000000"/>
          <w:kern w:val="0"/>
          <w:sz w:val="32"/>
          <w:szCs w:val="32"/>
        </w:rPr>
        <w:t>、收回存量资金收入：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五、事业收</w:t>
      </w:r>
      <w:r>
        <w:rPr>
          <w:rFonts w:hint="eastAsia" w:ascii="仿宋_GB2312" w:hAnsi="宋体" w:eastAsia="仿宋_GB2312" w:cs="宋体"/>
          <w:color w:val="000000"/>
          <w:kern w:val="0"/>
          <w:sz w:val="32"/>
          <w:szCs w:val="32"/>
        </w:rPr>
        <w:t>入：</w:t>
      </w:r>
      <w:r>
        <w:rPr>
          <w:rFonts w:hint="eastAsia" w:ascii="仿宋_GB2312" w:eastAsia="仿宋_GB2312" w:cs="宋体"/>
          <w:bCs/>
          <w:color w:val="000000"/>
          <w:kern w:val="0"/>
          <w:sz w:val="32"/>
          <w:szCs w:val="32"/>
          <w:lang w:val="zh-CN"/>
        </w:rPr>
        <w:t>指用于反映事业单位开展专业业务活动及辅助活动所取得的收入。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十、公共安全(类)法院(款)行政运行(项)：指用于保障机构正常运行、开展日常工作的基本支出。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w:t>
      </w:r>
      <w:r>
        <w:rPr>
          <w:rFonts w:hint="eastAsia" w:ascii="仿宋_GB2312" w:hAnsi="黑体" w:eastAsia="仿宋_GB2312"/>
          <w:sz w:val="32"/>
          <w:szCs w:val="32"/>
        </w:rPr>
        <w:t>公共安全(类)法院(款)</w:t>
      </w:r>
      <w:r>
        <w:rPr>
          <w:rFonts w:hint="eastAsia" w:ascii="仿宋_GB2312" w:hAnsi="宋体" w:eastAsia="仿宋_GB2312" w:cs="宋体"/>
          <w:color w:val="000000"/>
          <w:kern w:val="0"/>
          <w:sz w:val="32"/>
          <w:szCs w:val="30"/>
        </w:rPr>
        <w:t>一般行政管理事务（项）：指用于</w:t>
      </w:r>
      <w:r>
        <w:rPr>
          <w:rFonts w:hint="eastAsia" w:ascii="仿宋_GB2312" w:hAnsi="宋体" w:eastAsia="仿宋_GB2312" w:cs="宋体"/>
          <w:color w:val="000000"/>
          <w:kern w:val="0"/>
          <w:sz w:val="32"/>
          <w:szCs w:val="30"/>
          <w:highlight w:val="none"/>
          <w:lang w:eastAsia="zh-CN"/>
        </w:rPr>
        <w:t>公共安全</w:t>
      </w:r>
      <w:r>
        <w:rPr>
          <w:rFonts w:hint="eastAsia" w:ascii="仿宋_GB2312" w:hAnsi="宋体" w:eastAsia="仿宋_GB2312" w:cs="宋体"/>
          <w:color w:val="000000"/>
          <w:kern w:val="0"/>
          <w:sz w:val="32"/>
          <w:szCs w:val="30"/>
          <w:highlight w:val="none"/>
        </w:rPr>
        <w:t>等未</w:t>
      </w:r>
      <w:r>
        <w:rPr>
          <w:rFonts w:hint="eastAsia" w:ascii="仿宋_GB2312" w:hAnsi="宋体" w:eastAsia="仿宋_GB2312" w:cs="宋体"/>
          <w:color w:val="000000"/>
          <w:kern w:val="0"/>
          <w:sz w:val="32"/>
          <w:szCs w:val="30"/>
        </w:rPr>
        <w:t>单独设置项级科目的项目支出。</w:t>
      </w:r>
    </w:p>
    <w:p>
      <w:pPr>
        <w:autoSpaceDE w:val="0"/>
        <w:autoSpaceDN w:val="0"/>
        <w:adjustRightInd w:val="0"/>
        <w:jc w:val="left"/>
        <w:rPr>
          <w:rFonts w:ascii="仿宋_GB2312" w:hAnsi="黑体" w:eastAsia="仿宋_GB2312" w:cstheme="minorBidi"/>
          <w:kern w:val="2"/>
          <w:sz w:val="32"/>
          <w:szCs w:val="32"/>
        </w:rPr>
      </w:pPr>
      <w:r>
        <w:rPr>
          <w:rFonts w:hint="eastAsia" w:ascii="仿宋_GB2312" w:hAnsi="黑体" w:eastAsia="仿宋_GB2312" w:cstheme="minorBidi"/>
          <w:kern w:val="2"/>
          <w:sz w:val="32"/>
          <w:szCs w:val="32"/>
          <w:lang w:val="en-US" w:eastAsia="zh-CN"/>
        </w:rPr>
        <w:t xml:space="preserve">    </w:t>
      </w:r>
      <w:r>
        <w:rPr>
          <w:rFonts w:hint="eastAsia" w:ascii="仿宋_GB2312" w:hAnsi="黑体" w:eastAsia="仿宋_GB2312" w:cstheme="minorBidi"/>
          <w:kern w:val="2"/>
          <w:sz w:val="32"/>
          <w:szCs w:val="32"/>
        </w:rPr>
        <w:t>十</w:t>
      </w:r>
      <w:r>
        <w:rPr>
          <w:rFonts w:hint="eastAsia" w:ascii="仿宋_GB2312" w:hAnsi="黑体" w:eastAsia="仿宋_GB2312" w:cstheme="minorBidi"/>
          <w:kern w:val="2"/>
          <w:sz w:val="32"/>
          <w:szCs w:val="32"/>
          <w:lang w:eastAsia="zh-CN"/>
        </w:rPr>
        <w:t>二</w:t>
      </w:r>
      <w:r>
        <w:rPr>
          <w:rFonts w:hint="eastAsia" w:ascii="仿宋_GB2312" w:hAnsi="黑体" w:eastAsia="仿宋_GB2312" w:cstheme="minorBidi"/>
          <w:kern w:val="2"/>
          <w:sz w:val="32"/>
          <w:szCs w:val="32"/>
        </w:rPr>
        <w:t>、公共安全(类)法院(款)</w:t>
      </w:r>
      <w:r>
        <w:rPr>
          <w:rFonts w:hint="eastAsia" w:ascii="仿宋_GB2312" w:hAnsi="黑体" w:eastAsia="仿宋_GB2312" w:cstheme="minorBidi"/>
          <w:kern w:val="2"/>
          <w:sz w:val="32"/>
          <w:szCs w:val="32"/>
          <w:lang w:eastAsia="zh-CN"/>
        </w:rPr>
        <w:t>案件审判</w:t>
      </w:r>
      <w:r>
        <w:rPr>
          <w:rFonts w:hint="eastAsia" w:ascii="仿宋_GB2312" w:hAnsi="黑体" w:eastAsia="仿宋_GB2312" w:cstheme="minorBidi"/>
          <w:kern w:val="2"/>
          <w:sz w:val="32"/>
          <w:szCs w:val="32"/>
        </w:rPr>
        <w:t>(项)：指</w:t>
      </w:r>
      <w:r>
        <w:rPr>
          <w:rFonts w:hint="eastAsia" w:ascii="仿宋_GB2312" w:hAnsi="黑体" w:eastAsia="仿宋_GB2312" w:cstheme="minorBidi"/>
          <w:kern w:val="2"/>
          <w:sz w:val="32"/>
          <w:szCs w:val="32"/>
          <w:lang w:eastAsia="zh-CN"/>
        </w:rPr>
        <w:t>反映人民法院对刑事、民事、行政、涉外等案件审判活动的支出。</w:t>
      </w:r>
    </w:p>
    <w:p>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公共安全（类）法院（款）案件执行（项）；指反映人民法院对刑事、民事、行政、涉外等案件执行活动和对各种非诉执活动的支出。</w:t>
      </w:r>
      <w:r>
        <w:rPr>
          <w:rFonts w:hint="eastAsia" w:ascii="仿宋_GB2312" w:hAnsi="宋体" w:eastAsia="仿宋_GB2312" w:cs="宋体"/>
          <w:color w:val="000000"/>
          <w:kern w:val="0"/>
          <w:sz w:val="32"/>
          <w:szCs w:val="30"/>
          <w:lang w:val="en-US" w:eastAsia="zh-CN"/>
        </w:rPr>
        <w:t xml:space="preserve">   </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公共安全（类）法院（款）两庭建设（项）：指反映人民法院两庭维修维护活动的支出。</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社会保障和就业支出（类）行政事业单位离退休（款）归口管理的行政单位离退休（项）：指反映实行归口管理的行政单位开支的离退休经费。</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社会保障和就业支出（类）行政事业单位离退休（款）机关事业单位基本养老保险缴费支出（项）：指反映机关事业单位实施养老保险制度由单位缴纳的基本养老保险费支出。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十七、社会保障和就业支出（类）行政事业单位离退休（款）机关事业单位职业年金缴费支出（项）：指反映机关事业单位实施养老保险制度由单位实际缴纳的职业年金支出。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八、社会保障和就业支出（类）抚恤（款）其他优抚支出（项）；是除上述项目以外（义务兵优待、农村籍退役士兵老年生活补助、死亡抚恤、伤残抚恤、在乡复员、退伍军人生活补助）其他用于优抚方面的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九、卫生健康支出（类）行政事业单位医疗（款）行政单位医疗（项）；指反映财政部门集中安排的行政单位（包括实行公务员管理的失业单位）基本医疗保险缴费经费，未参加医疗保险的行政单位的公费医疗经费，按国家规定享受离休人员、红军战士待遇人员的医疗经费。</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二十、卫生健康支出（类）行政事业单位医疗（款）公务员医疗补助（项）：指反映财政部门安排的公务员医疗补助缴费。</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二十一、住房保障支出（类）住房改革支出（款）住房公积金（项）：指反映行政事业单位按人力资源和社会保障部、财政部规定的基本工资和津贴补贴以及规定比例为职工缴纳的住房公积金。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二十二、基本支出：指行政事业单位用于为保障其机构正常运转、完成日常工作任务而发生的人员支出和公用支出。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二十三、项目支出：指在基本支出之外为完成特定的行政工作任务或事业发展目标所发生的支出。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五、机关运行经费：包括办公及印刷费、邮电费、差旅费、会议费、福利费、日常维修费、专用材料及一般设备购置费、办公用房水电费、公用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4586829">
    <w:nsid w:val="10F6734D"/>
    <w:multiLevelType w:val="multilevel"/>
    <w:tmpl w:val="10F6734D"/>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2845868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0C45"/>
    <w:rsid w:val="00003088"/>
    <w:rsid w:val="00016ED2"/>
    <w:rsid w:val="00075A39"/>
    <w:rsid w:val="000B08D0"/>
    <w:rsid w:val="0013021A"/>
    <w:rsid w:val="001326C1"/>
    <w:rsid w:val="00173B57"/>
    <w:rsid w:val="001E78DB"/>
    <w:rsid w:val="002530AD"/>
    <w:rsid w:val="002729A7"/>
    <w:rsid w:val="00285DE5"/>
    <w:rsid w:val="00293316"/>
    <w:rsid w:val="002956BC"/>
    <w:rsid w:val="002A59FA"/>
    <w:rsid w:val="002B0ADF"/>
    <w:rsid w:val="002E73B0"/>
    <w:rsid w:val="00321827"/>
    <w:rsid w:val="00336398"/>
    <w:rsid w:val="0036456D"/>
    <w:rsid w:val="003847B6"/>
    <w:rsid w:val="004522A5"/>
    <w:rsid w:val="00474F12"/>
    <w:rsid w:val="0048444F"/>
    <w:rsid w:val="00484AB2"/>
    <w:rsid w:val="00525863"/>
    <w:rsid w:val="00581D7B"/>
    <w:rsid w:val="0059423F"/>
    <w:rsid w:val="005C4CF0"/>
    <w:rsid w:val="005F78BD"/>
    <w:rsid w:val="00610FB9"/>
    <w:rsid w:val="00640059"/>
    <w:rsid w:val="006575CD"/>
    <w:rsid w:val="00670067"/>
    <w:rsid w:val="006871F7"/>
    <w:rsid w:val="00690769"/>
    <w:rsid w:val="006B1FB3"/>
    <w:rsid w:val="00745210"/>
    <w:rsid w:val="0075151D"/>
    <w:rsid w:val="007652FD"/>
    <w:rsid w:val="00767BFA"/>
    <w:rsid w:val="00786240"/>
    <w:rsid w:val="00787766"/>
    <w:rsid w:val="007905C9"/>
    <w:rsid w:val="00793A7F"/>
    <w:rsid w:val="007B3322"/>
    <w:rsid w:val="007E4EAF"/>
    <w:rsid w:val="007F1EA5"/>
    <w:rsid w:val="00810B32"/>
    <w:rsid w:val="00816A87"/>
    <w:rsid w:val="00864A16"/>
    <w:rsid w:val="008A6B53"/>
    <w:rsid w:val="008C1502"/>
    <w:rsid w:val="00914809"/>
    <w:rsid w:val="009262C2"/>
    <w:rsid w:val="00926751"/>
    <w:rsid w:val="00947538"/>
    <w:rsid w:val="0096266B"/>
    <w:rsid w:val="00995DA5"/>
    <w:rsid w:val="009F52FB"/>
    <w:rsid w:val="00A17EC5"/>
    <w:rsid w:val="00A324AA"/>
    <w:rsid w:val="00A545A0"/>
    <w:rsid w:val="00A94D59"/>
    <w:rsid w:val="00AE1D69"/>
    <w:rsid w:val="00AE4D39"/>
    <w:rsid w:val="00C22B8B"/>
    <w:rsid w:val="00C745BA"/>
    <w:rsid w:val="00C82DCE"/>
    <w:rsid w:val="00C91D51"/>
    <w:rsid w:val="00CA7DBE"/>
    <w:rsid w:val="00CD7757"/>
    <w:rsid w:val="00D11314"/>
    <w:rsid w:val="00DC4726"/>
    <w:rsid w:val="00DC65EF"/>
    <w:rsid w:val="00DD3FD8"/>
    <w:rsid w:val="00E27401"/>
    <w:rsid w:val="00E3389C"/>
    <w:rsid w:val="00EB13B5"/>
    <w:rsid w:val="00ED50D0"/>
    <w:rsid w:val="00ED6580"/>
    <w:rsid w:val="00EE30DB"/>
    <w:rsid w:val="00F25292"/>
    <w:rsid w:val="00F36978"/>
    <w:rsid w:val="00F83E2B"/>
    <w:rsid w:val="00F91B44"/>
    <w:rsid w:val="00FB0A31"/>
    <w:rsid w:val="01EB16A6"/>
    <w:rsid w:val="024E6670"/>
    <w:rsid w:val="027125E7"/>
    <w:rsid w:val="02BA78F2"/>
    <w:rsid w:val="02DC0989"/>
    <w:rsid w:val="030854E9"/>
    <w:rsid w:val="03813D6F"/>
    <w:rsid w:val="03CD75A4"/>
    <w:rsid w:val="03F945BD"/>
    <w:rsid w:val="045A36D7"/>
    <w:rsid w:val="050E3956"/>
    <w:rsid w:val="05574C45"/>
    <w:rsid w:val="057D0318"/>
    <w:rsid w:val="06496639"/>
    <w:rsid w:val="06AC1A21"/>
    <w:rsid w:val="06B31D07"/>
    <w:rsid w:val="06C95F91"/>
    <w:rsid w:val="06EB3856"/>
    <w:rsid w:val="0716762F"/>
    <w:rsid w:val="074252B0"/>
    <w:rsid w:val="07FE651F"/>
    <w:rsid w:val="0800210D"/>
    <w:rsid w:val="082C57B9"/>
    <w:rsid w:val="08470395"/>
    <w:rsid w:val="08925E1F"/>
    <w:rsid w:val="090118FD"/>
    <w:rsid w:val="09D92637"/>
    <w:rsid w:val="0A325010"/>
    <w:rsid w:val="0A6B1B34"/>
    <w:rsid w:val="0A904AA5"/>
    <w:rsid w:val="0AD72BD8"/>
    <w:rsid w:val="0B157338"/>
    <w:rsid w:val="0B2F25C1"/>
    <w:rsid w:val="0BF94A56"/>
    <w:rsid w:val="0C2F36A7"/>
    <w:rsid w:val="0C5A1ADB"/>
    <w:rsid w:val="0C771C1A"/>
    <w:rsid w:val="0D463A2F"/>
    <w:rsid w:val="0DBF35CD"/>
    <w:rsid w:val="0DC204CA"/>
    <w:rsid w:val="0DC43D4A"/>
    <w:rsid w:val="0DEE51D7"/>
    <w:rsid w:val="0E6144FA"/>
    <w:rsid w:val="0EB34240"/>
    <w:rsid w:val="0F7B1092"/>
    <w:rsid w:val="0F8D4E0D"/>
    <w:rsid w:val="108D2BAC"/>
    <w:rsid w:val="10E464F0"/>
    <w:rsid w:val="10EF672A"/>
    <w:rsid w:val="115B3FD4"/>
    <w:rsid w:val="12D3220B"/>
    <w:rsid w:val="133B3F14"/>
    <w:rsid w:val="13616867"/>
    <w:rsid w:val="13BC362D"/>
    <w:rsid w:val="14840A0D"/>
    <w:rsid w:val="14994E4C"/>
    <w:rsid w:val="151250AD"/>
    <w:rsid w:val="15EE6C26"/>
    <w:rsid w:val="16417145"/>
    <w:rsid w:val="168A110A"/>
    <w:rsid w:val="16C020B2"/>
    <w:rsid w:val="16CD4D13"/>
    <w:rsid w:val="17864DAC"/>
    <w:rsid w:val="180C1AA5"/>
    <w:rsid w:val="18543CB1"/>
    <w:rsid w:val="18BA5458"/>
    <w:rsid w:val="18FE1A67"/>
    <w:rsid w:val="19446B3F"/>
    <w:rsid w:val="19567D76"/>
    <w:rsid w:val="19670B28"/>
    <w:rsid w:val="1A455885"/>
    <w:rsid w:val="1A8C7DE9"/>
    <w:rsid w:val="1B422585"/>
    <w:rsid w:val="1B5469B7"/>
    <w:rsid w:val="1B6E2BF8"/>
    <w:rsid w:val="1B822048"/>
    <w:rsid w:val="1C116A29"/>
    <w:rsid w:val="1C6B6D3B"/>
    <w:rsid w:val="1CFF485E"/>
    <w:rsid w:val="1D672D94"/>
    <w:rsid w:val="1DE82A89"/>
    <w:rsid w:val="1E455F7C"/>
    <w:rsid w:val="1E644CA4"/>
    <w:rsid w:val="1E7334EC"/>
    <w:rsid w:val="1E9F289C"/>
    <w:rsid w:val="1EAC3254"/>
    <w:rsid w:val="1EC803E1"/>
    <w:rsid w:val="1ED708C7"/>
    <w:rsid w:val="1F0C66B4"/>
    <w:rsid w:val="1F2C3A11"/>
    <w:rsid w:val="1F3F6003"/>
    <w:rsid w:val="1F5450E1"/>
    <w:rsid w:val="1F7F20CA"/>
    <w:rsid w:val="1FCF3A14"/>
    <w:rsid w:val="20DB3925"/>
    <w:rsid w:val="20DE6B7D"/>
    <w:rsid w:val="20EB5C53"/>
    <w:rsid w:val="213F78B4"/>
    <w:rsid w:val="21553594"/>
    <w:rsid w:val="21597F38"/>
    <w:rsid w:val="21DA3E36"/>
    <w:rsid w:val="21F11126"/>
    <w:rsid w:val="228554A7"/>
    <w:rsid w:val="22A137F7"/>
    <w:rsid w:val="2300447E"/>
    <w:rsid w:val="2334750D"/>
    <w:rsid w:val="23587D60"/>
    <w:rsid w:val="237A28EA"/>
    <w:rsid w:val="242D4617"/>
    <w:rsid w:val="243726A7"/>
    <w:rsid w:val="247838AB"/>
    <w:rsid w:val="247D08C2"/>
    <w:rsid w:val="24842FBB"/>
    <w:rsid w:val="248716BD"/>
    <w:rsid w:val="24C159FB"/>
    <w:rsid w:val="255D0D28"/>
    <w:rsid w:val="26255F1D"/>
    <w:rsid w:val="263C4CE5"/>
    <w:rsid w:val="2688491F"/>
    <w:rsid w:val="26964410"/>
    <w:rsid w:val="26AA7007"/>
    <w:rsid w:val="26B9481D"/>
    <w:rsid w:val="27134A64"/>
    <w:rsid w:val="27294D4B"/>
    <w:rsid w:val="27DE4C74"/>
    <w:rsid w:val="280928F5"/>
    <w:rsid w:val="28C8433E"/>
    <w:rsid w:val="29216E52"/>
    <w:rsid w:val="29F268B2"/>
    <w:rsid w:val="2A125F0F"/>
    <w:rsid w:val="2A4262E9"/>
    <w:rsid w:val="2A5B2C08"/>
    <w:rsid w:val="2A661FEA"/>
    <w:rsid w:val="2A780802"/>
    <w:rsid w:val="2B3B7413"/>
    <w:rsid w:val="2C6F3B8F"/>
    <w:rsid w:val="2CA0548C"/>
    <w:rsid w:val="2CEE561B"/>
    <w:rsid w:val="2D6E33B3"/>
    <w:rsid w:val="2DFD358B"/>
    <w:rsid w:val="2E295D7D"/>
    <w:rsid w:val="2E572F6A"/>
    <w:rsid w:val="2E6E2378"/>
    <w:rsid w:val="2E815BB3"/>
    <w:rsid w:val="2F8605A3"/>
    <w:rsid w:val="2FB360CF"/>
    <w:rsid w:val="2FB745CA"/>
    <w:rsid w:val="2FDF2EA2"/>
    <w:rsid w:val="2FE61BC5"/>
    <w:rsid w:val="302619CB"/>
    <w:rsid w:val="302626A1"/>
    <w:rsid w:val="30E91EAF"/>
    <w:rsid w:val="31157788"/>
    <w:rsid w:val="31B11BC8"/>
    <w:rsid w:val="31CC2B65"/>
    <w:rsid w:val="32136C64"/>
    <w:rsid w:val="32710CC5"/>
    <w:rsid w:val="32BC398E"/>
    <w:rsid w:val="332A38D9"/>
    <w:rsid w:val="337373FD"/>
    <w:rsid w:val="337F0D74"/>
    <w:rsid w:val="33A15A76"/>
    <w:rsid w:val="33B214F9"/>
    <w:rsid w:val="3488422B"/>
    <w:rsid w:val="34C92FAB"/>
    <w:rsid w:val="34ED3B21"/>
    <w:rsid w:val="353B6740"/>
    <w:rsid w:val="35FD3C22"/>
    <w:rsid w:val="36D83B8A"/>
    <w:rsid w:val="36F3152B"/>
    <w:rsid w:val="36FA3070"/>
    <w:rsid w:val="37836FCF"/>
    <w:rsid w:val="37CF34EC"/>
    <w:rsid w:val="384A3BF7"/>
    <w:rsid w:val="388320EF"/>
    <w:rsid w:val="38AA3769"/>
    <w:rsid w:val="38E64DE0"/>
    <w:rsid w:val="395632A9"/>
    <w:rsid w:val="39E40928"/>
    <w:rsid w:val="3A167275"/>
    <w:rsid w:val="3A1E4F00"/>
    <w:rsid w:val="3A414CA5"/>
    <w:rsid w:val="3A9E767E"/>
    <w:rsid w:val="3BD14815"/>
    <w:rsid w:val="3CF00273"/>
    <w:rsid w:val="3D3028CD"/>
    <w:rsid w:val="3D3374FE"/>
    <w:rsid w:val="3D971DB7"/>
    <w:rsid w:val="3E321516"/>
    <w:rsid w:val="3E99078C"/>
    <w:rsid w:val="3ED54772"/>
    <w:rsid w:val="3FC46A45"/>
    <w:rsid w:val="3FFD72DB"/>
    <w:rsid w:val="40057E57"/>
    <w:rsid w:val="402C2C0A"/>
    <w:rsid w:val="40534542"/>
    <w:rsid w:val="4076775A"/>
    <w:rsid w:val="40FD7983"/>
    <w:rsid w:val="4109092A"/>
    <w:rsid w:val="41453F54"/>
    <w:rsid w:val="42336B25"/>
    <w:rsid w:val="42543DBA"/>
    <w:rsid w:val="42D36E34"/>
    <w:rsid w:val="43D00FFC"/>
    <w:rsid w:val="43D85B99"/>
    <w:rsid w:val="44485EE8"/>
    <w:rsid w:val="44F81350"/>
    <w:rsid w:val="45FC3F88"/>
    <w:rsid w:val="45FF2F6C"/>
    <w:rsid w:val="46EF6FA0"/>
    <w:rsid w:val="46F70C5B"/>
    <w:rsid w:val="47056DA5"/>
    <w:rsid w:val="474C6BC9"/>
    <w:rsid w:val="47BB2C73"/>
    <w:rsid w:val="47CF11E4"/>
    <w:rsid w:val="47E266EC"/>
    <w:rsid w:val="48232CFF"/>
    <w:rsid w:val="48330D1B"/>
    <w:rsid w:val="484B04A9"/>
    <w:rsid w:val="486E3707"/>
    <w:rsid w:val="48B66A73"/>
    <w:rsid w:val="499B69CB"/>
    <w:rsid w:val="49C7603C"/>
    <w:rsid w:val="4A19126C"/>
    <w:rsid w:val="4B6633A7"/>
    <w:rsid w:val="4CA46D05"/>
    <w:rsid w:val="4D8C0467"/>
    <w:rsid w:val="4E163B6E"/>
    <w:rsid w:val="4EE26495"/>
    <w:rsid w:val="4F8666A6"/>
    <w:rsid w:val="4FC923D0"/>
    <w:rsid w:val="500C4844"/>
    <w:rsid w:val="50186AFE"/>
    <w:rsid w:val="501D3A3E"/>
    <w:rsid w:val="503030FB"/>
    <w:rsid w:val="50E73B28"/>
    <w:rsid w:val="510743F8"/>
    <w:rsid w:val="51142F11"/>
    <w:rsid w:val="517A7C54"/>
    <w:rsid w:val="519843F2"/>
    <w:rsid w:val="526D3390"/>
    <w:rsid w:val="52AF264B"/>
    <w:rsid w:val="541C7859"/>
    <w:rsid w:val="54492451"/>
    <w:rsid w:val="547A7848"/>
    <w:rsid w:val="54CB11D8"/>
    <w:rsid w:val="55282482"/>
    <w:rsid w:val="55745989"/>
    <w:rsid w:val="55F36450"/>
    <w:rsid w:val="565A2451"/>
    <w:rsid w:val="57AB75EC"/>
    <w:rsid w:val="58875EB0"/>
    <w:rsid w:val="58945AE4"/>
    <w:rsid w:val="58B60F7E"/>
    <w:rsid w:val="58CB3FD9"/>
    <w:rsid w:val="592A6B2F"/>
    <w:rsid w:val="599D2270"/>
    <w:rsid w:val="599F694D"/>
    <w:rsid w:val="5A5D04E7"/>
    <w:rsid w:val="5ACC5184"/>
    <w:rsid w:val="5AEA54A3"/>
    <w:rsid w:val="5C4F5B35"/>
    <w:rsid w:val="5C66778B"/>
    <w:rsid w:val="5C671C01"/>
    <w:rsid w:val="5C9E0D7A"/>
    <w:rsid w:val="5D445EFF"/>
    <w:rsid w:val="5D531C59"/>
    <w:rsid w:val="5D7C0A96"/>
    <w:rsid w:val="5DCA0533"/>
    <w:rsid w:val="5DF91F9C"/>
    <w:rsid w:val="5E291504"/>
    <w:rsid w:val="5E7B1A26"/>
    <w:rsid w:val="5EA872BC"/>
    <w:rsid w:val="5EE956D7"/>
    <w:rsid w:val="5F1112E9"/>
    <w:rsid w:val="5F5566D7"/>
    <w:rsid w:val="5F577E92"/>
    <w:rsid w:val="5FC1750F"/>
    <w:rsid w:val="6001138A"/>
    <w:rsid w:val="605978C0"/>
    <w:rsid w:val="616848E8"/>
    <w:rsid w:val="619039F3"/>
    <w:rsid w:val="61932EDE"/>
    <w:rsid w:val="61C44A83"/>
    <w:rsid w:val="62952ACA"/>
    <w:rsid w:val="63373E56"/>
    <w:rsid w:val="634260F4"/>
    <w:rsid w:val="64984127"/>
    <w:rsid w:val="649F1FE5"/>
    <w:rsid w:val="64CD5867"/>
    <w:rsid w:val="64EE4AFF"/>
    <w:rsid w:val="65286369"/>
    <w:rsid w:val="658910F7"/>
    <w:rsid w:val="659F2DF8"/>
    <w:rsid w:val="65BF633F"/>
    <w:rsid w:val="66530B08"/>
    <w:rsid w:val="66AF4C0C"/>
    <w:rsid w:val="66D67E22"/>
    <w:rsid w:val="66DD7BDB"/>
    <w:rsid w:val="676B6824"/>
    <w:rsid w:val="677248E0"/>
    <w:rsid w:val="67A10F80"/>
    <w:rsid w:val="684E4CC0"/>
    <w:rsid w:val="69E23332"/>
    <w:rsid w:val="6A490D72"/>
    <w:rsid w:val="6A5E7E63"/>
    <w:rsid w:val="6A945D32"/>
    <w:rsid w:val="6B0067BA"/>
    <w:rsid w:val="6B587B43"/>
    <w:rsid w:val="6B877DE5"/>
    <w:rsid w:val="6C8267C9"/>
    <w:rsid w:val="6CA11998"/>
    <w:rsid w:val="6D070914"/>
    <w:rsid w:val="6D514657"/>
    <w:rsid w:val="6D962569"/>
    <w:rsid w:val="6DD318DF"/>
    <w:rsid w:val="6DDA2FF8"/>
    <w:rsid w:val="6EA7713D"/>
    <w:rsid w:val="6F491B7F"/>
    <w:rsid w:val="6F7D505F"/>
    <w:rsid w:val="6FE05240"/>
    <w:rsid w:val="6FF405AF"/>
    <w:rsid w:val="6FF41D39"/>
    <w:rsid w:val="70201446"/>
    <w:rsid w:val="70337A72"/>
    <w:rsid w:val="70AE6608"/>
    <w:rsid w:val="70BD5E45"/>
    <w:rsid w:val="70BE1861"/>
    <w:rsid w:val="710167B1"/>
    <w:rsid w:val="71525329"/>
    <w:rsid w:val="71A90BB8"/>
    <w:rsid w:val="722B19D5"/>
    <w:rsid w:val="724F38ED"/>
    <w:rsid w:val="72856603"/>
    <w:rsid w:val="72A04B25"/>
    <w:rsid w:val="72D575C1"/>
    <w:rsid w:val="73351AD8"/>
    <w:rsid w:val="73637EB7"/>
    <w:rsid w:val="738217B6"/>
    <w:rsid w:val="73CA7A60"/>
    <w:rsid w:val="745D5F77"/>
    <w:rsid w:val="74B9313C"/>
    <w:rsid w:val="74BF14DA"/>
    <w:rsid w:val="74C959EE"/>
    <w:rsid w:val="75383146"/>
    <w:rsid w:val="753A1B76"/>
    <w:rsid w:val="75CB07A8"/>
    <w:rsid w:val="76956E17"/>
    <w:rsid w:val="76CF77D3"/>
    <w:rsid w:val="772C0ED6"/>
    <w:rsid w:val="77B6527C"/>
    <w:rsid w:val="77E4763B"/>
    <w:rsid w:val="786E17CB"/>
    <w:rsid w:val="789F2AFF"/>
    <w:rsid w:val="796739DC"/>
    <w:rsid w:val="7A0441EA"/>
    <w:rsid w:val="7A2B4C45"/>
    <w:rsid w:val="7AC604DF"/>
    <w:rsid w:val="7AEC0876"/>
    <w:rsid w:val="7BC073D3"/>
    <w:rsid w:val="7BEB6F44"/>
    <w:rsid w:val="7C3A79AC"/>
    <w:rsid w:val="7C731AFD"/>
    <w:rsid w:val="7C7F6DF2"/>
    <w:rsid w:val="7C9153A7"/>
    <w:rsid w:val="7C9929A9"/>
    <w:rsid w:val="7CA17242"/>
    <w:rsid w:val="7D6B50C1"/>
    <w:rsid w:val="7DC430A8"/>
    <w:rsid w:val="7E4E379D"/>
    <w:rsid w:val="7E5C058C"/>
    <w:rsid w:val="7EBD0B4A"/>
    <w:rsid w:val="7F71006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ScaleCrop>false</ScaleCrop>
  <LinksUpToDate>false</LinksUpToDate>
  <CharactersWithSpaces>3666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klj</cp:lastModifiedBy>
  <dcterms:modified xsi:type="dcterms:W3CDTF">2020-02-07T01:53:30Z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