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bCs/>
          <w:sz w:val="36"/>
          <w:szCs w:val="44"/>
        </w:rPr>
      </w:pPr>
    </w:p>
    <w:p>
      <w:pPr>
        <w:jc w:val="center"/>
        <w:rPr>
          <w:rFonts w:ascii="宋体" w:hAnsi="宋体" w:eastAsia="宋体" w:cs="宋体"/>
          <w:b/>
          <w:sz w:val="36"/>
          <w:szCs w:val="44"/>
        </w:rPr>
      </w:pPr>
      <w:r>
        <w:rPr>
          <w:rFonts w:hint="eastAsia" w:ascii="宋体" w:hAnsi="宋体" w:eastAsia="宋体" w:cs="宋体"/>
          <w:b/>
          <w:sz w:val="36"/>
          <w:szCs w:val="44"/>
          <w:lang w:eastAsia="zh-CN"/>
        </w:rPr>
        <w:t>屯昌县人民法院</w:t>
      </w:r>
      <w:r>
        <w:rPr>
          <w:rFonts w:hint="eastAsia" w:ascii="宋体" w:hAnsi="宋体" w:eastAsia="宋体" w:cs="宋体"/>
          <w:b/>
          <w:sz w:val="36"/>
          <w:szCs w:val="44"/>
        </w:rPr>
        <w:t>转移支付</w:t>
      </w:r>
      <w:r>
        <w:rPr>
          <w:rFonts w:hint="eastAsia" w:ascii="Arial" w:hAnsi="Arial" w:eastAsia="宋体" w:cs="Arial"/>
          <w:b/>
          <w:sz w:val="36"/>
          <w:szCs w:val="44"/>
        </w:rPr>
        <w:t>20</w:t>
      </w:r>
      <w:r>
        <w:rPr>
          <w:rFonts w:hint="eastAsia" w:ascii="Arial" w:hAnsi="Arial" w:eastAsia="宋体" w:cs="Arial"/>
          <w:b/>
          <w:sz w:val="36"/>
          <w:szCs w:val="44"/>
          <w:lang w:val="en-US" w:eastAsia="zh-CN"/>
        </w:rPr>
        <w:t>20</w:t>
      </w:r>
      <w:r>
        <w:rPr>
          <w:rFonts w:hint="eastAsia" w:ascii="宋体" w:hAnsi="宋体" w:eastAsia="宋体" w:cs="宋体"/>
          <w:b/>
          <w:sz w:val="36"/>
          <w:szCs w:val="44"/>
        </w:rPr>
        <w:t>年度绩效自评报告</w:t>
      </w:r>
    </w:p>
    <w:p>
      <w:pPr>
        <w:ind w:firstLine="600" w:firstLineChars="200"/>
        <w:rPr>
          <w:rFonts w:ascii="黑体" w:hAnsi="黑体" w:eastAsia="黑体" w:cs="黑体"/>
          <w:bCs/>
          <w:szCs w:val="32"/>
        </w:rPr>
      </w:pPr>
      <w:r>
        <w:rPr>
          <w:rFonts w:hint="eastAsia" w:ascii="黑体" w:hAnsi="黑体" w:eastAsia="黑体" w:cs="黑体"/>
          <w:bCs/>
          <w:szCs w:val="32"/>
        </w:rPr>
        <w:t>一、绩效目标分解下达情况</w:t>
      </w:r>
    </w:p>
    <w:p>
      <w:pPr>
        <w:ind w:firstLine="600" w:firstLineChars="200"/>
        <w:outlineLvl w:val="0"/>
        <w:rPr>
          <w:rFonts w:ascii="仿宋_GB2312"/>
          <w:szCs w:val="32"/>
        </w:rPr>
      </w:pPr>
      <w:r>
        <w:rPr>
          <w:rFonts w:hint="eastAsia" w:ascii="仿宋_GB2312"/>
          <w:szCs w:val="32"/>
          <w:lang w:val="en-US" w:eastAsia="zh-CN"/>
        </w:rPr>
        <w:t>2020年屯昌县人民法院政法经费项目</w:t>
      </w:r>
      <w:r>
        <w:rPr>
          <w:rFonts w:hint="eastAsia" w:ascii="仿宋_GB2312"/>
          <w:szCs w:val="32"/>
        </w:rPr>
        <w:t>下达</w:t>
      </w:r>
      <w:r>
        <w:rPr>
          <w:rFonts w:hint="eastAsia" w:ascii="仿宋_GB2312"/>
          <w:szCs w:val="32"/>
          <w:lang w:eastAsia="zh-CN"/>
        </w:rPr>
        <w:t>本省中央</w:t>
      </w:r>
      <w:r>
        <w:rPr>
          <w:rFonts w:hint="eastAsia" w:ascii="仿宋_GB2312"/>
          <w:szCs w:val="32"/>
        </w:rPr>
        <w:t>转移支付预算</w:t>
      </w:r>
      <w:r>
        <w:rPr>
          <w:rFonts w:hint="eastAsia" w:ascii="仿宋_GB2312"/>
          <w:szCs w:val="32"/>
          <w:lang w:val="en-US" w:eastAsia="zh-CN"/>
        </w:rPr>
        <w:t>589.04万元，我院设定</w:t>
      </w:r>
      <w:r>
        <w:rPr>
          <w:rFonts w:hint="eastAsia" w:ascii="仿宋_GB2312"/>
          <w:szCs w:val="32"/>
        </w:rPr>
        <w:t>绩效目标</w:t>
      </w:r>
      <w:r>
        <w:rPr>
          <w:rFonts w:hint="eastAsia" w:ascii="仿宋_GB2312"/>
          <w:szCs w:val="32"/>
          <w:lang w:eastAsia="zh-CN"/>
        </w:rPr>
        <w:t>完成</w:t>
      </w:r>
      <w:r>
        <w:rPr>
          <w:rFonts w:hint="eastAsia" w:ascii="仿宋_GB2312"/>
          <w:szCs w:val="32"/>
          <w:lang w:val="en-US" w:eastAsia="zh-CN"/>
        </w:rPr>
        <w:t>95%</w:t>
      </w:r>
      <w:r>
        <w:rPr>
          <w:rFonts w:hint="eastAsia" w:ascii="仿宋_GB2312"/>
          <w:szCs w:val="32"/>
        </w:rPr>
        <w:t>。省内资金安排</w:t>
      </w:r>
      <w:r>
        <w:rPr>
          <w:rFonts w:hint="eastAsia" w:ascii="仿宋_GB2312"/>
          <w:szCs w:val="32"/>
          <w:lang w:val="en-US" w:eastAsia="zh-CN"/>
        </w:rPr>
        <w:t>100%</w:t>
      </w:r>
      <w:r>
        <w:rPr>
          <w:rFonts w:hint="eastAsia" w:ascii="仿宋_GB2312"/>
          <w:szCs w:val="32"/>
        </w:rPr>
        <w:t>、分解下达预算</w:t>
      </w:r>
      <w:r>
        <w:rPr>
          <w:rFonts w:hint="eastAsia" w:ascii="仿宋_GB2312"/>
          <w:szCs w:val="32"/>
          <w:lang w:eastAsia="zh-CN"/>
        </w:rPr>
        <w:t>按照时点完成</w:t>
      </w:r>
      <w:bookmarkStart w:id="0" w:name="_GoBack"/>
      <w:bookmarkEnd w:id="0"/>
      <w:r>
        <w:rPr>
          <w:rFonts w:hint="eastAsia" w:ascii="仿宋_GB2312"/>
          <w:szCs w:val="32"/>
        </w:rPr>
        <w:t>。被评价项目属于经常性项目，</w:t>
      </w:r>
      <w:r>
        <w:rPr>
          <w:rFonts w:hint="eastAsia" w:ascii="仿宋_GB2312"/>
          <w:szCs w:val="32"/>
          <w:lang w:val="en-US" w:eastAsia="zh-CN"/>
        </w:rPr>
        <w:t>是</w:t>
      </w:r>
      <w:r>
        <w:rPr>
          <w:rFonts w:hint="eastAsia" w:ascii="仿宋_GB2312"/>
          <w:szCs w:val="32"/>
        </w:rPr>
        <w:t>用于保障</w:t>
      </w:r>
      <w:r>
        <w:rPr>
          <w:rFonts w:hint="eastAsia" w:ascii="仿宋_GB2312"/>
          <w:szCs w:val="32"/>
          <w:lang w:eastAsia="zh-CN"/>
        </w:rPr>
        <w:t>屯昌</w:t>
      </w:r>
      <w:r>
        <w:rPr>
          <w:rFonts w:hint="eastAsia" w:ascii="仿宋_GB2312"/>
          <w:szCs w:val="32"/>
        </w:rPr>
        <w:t>法院案件审判事业顺利进行的各项资金支出活动。为保证</w:t>
      </w:r>
      <w:r>
        <w:rPr>
          <w:rFonts w:hint="eastAsia" w:ascii="仿宋_GB2312"/>
          <w:szCs w:val="32"/>
          <w:lang w:val="en-US" w:eastAsia="zh-CN"/>
        </w:rPr>
        <w:t>案件审判工作的正常</w:t>
      </w:r>
      <w:r>
        <w:rPr>
          <w:rFonts w:hint="eastAsia" w:ascii="仿宋_GB2312"/>
          <w:szCs w:val="32"/>
        </w:rPr>
        <w:t>开展，参考上年度案件审判项目经费使用情况，进行资金分配。项目主要内容包括：办公（含移动办公）、印刷、邮电、差旅、租赁、会议、培训、劳务、公车维护、聘用职工</w:t>
      </w:r>
      <w:r>
        <w:rPr>
          <w:rFonts w:hint="eastAsia" w:ascii="仿宋_GB2312"/>
          <w:szCs w:val="32"/>
          <w:lang w:eastAsia="zh-CN"/>
        </w:rPr>
        <w:t>、办案装备</w:t>
      </w:r>
      <w:r>
        <w:rPr>
          <w:rFonts w:hint="eastAsia" w:ascii="仿宋_GB2312"/>
          <w:szCs w:val="32"/>
        </w:rPr>
        <w:t>等，范围涉及案件审判相关工作。</w:t>
      </w:r>
    </w:p>
    <w:p>
      <w:pPr>
        <w:ind w:firstLine="600" w:firstLineChars="200"/>
        <w:rPr>
          <w:rFonts w:ascii="黑体" w:hAnsi="黑体" w:eastAsia="黑体" w:cs="黑体"/>
          <w:bCs/>
          <w:szCs w:val="32"/>
        </w:rPr>
      </w:pPr>
      <w:r>
        <w:rPr>
          <w:rFonts w:hint="eastAsia" w:ascii="黑体" w:hAnsi="黑体" w:eastAsia="黑体" w:cs="黑体"/>
          <w:bCs/>
          <w:szCs w:val="32"/>
        </w:rPr>
        <w:t>二、绩效目标完成情况分析</w:t>
      </w:r>
    </w:p>
    <w:p>
      <w:pPr>
        <w:ind w:firstLine="602" w:firstLineChars="200"/>
        <w:outlineLvl w:val="0"/>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（一）资金投入情况分析。</w:t>
      </w:r>
    </w:p>
    <w:p>
      <w:pPr>
        <w:ind w:firstLine="600" w:firstLineChars="200"/>
        <w:outlineLvl w:val="0"/>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2020年屯昌法院政法转移支付资金项目共计支出561.93万元，主要用于与案件审判项目相关支出，资金支付率95.40%。</w:t>
      </w:r>
    </w:p>
    <w:p>
      <w:pPr>
        <w:ind w:firstLine="600" w:firstLineChars="200"/>
        <w:outlineLvl w:val="0"/>
        <w:rPr>
          <w:rFonts w:hint="eastAsia" w:ascii="楷体_GB2312" w:hAnsi="楷体_GB2312" w:eastAsia="楷体_GB2312" w:cs="楷体_GB2312"/>
          <w:b/>
          <w:bCs/>
          <w:szCs w:val="32"/>
        </w:rPr>
      </w:pPr>
      <w:r>
        <w:rPr>
          <w:rFonts w:hint="eastAsia" w:ascii="仿宋_GB2312" w:hAnsi="仿宋_GB2312" w:cs="仿宋_GB2312"/>
          <w:bCs/>
          <w:szCs w:val="32"/>
          <w:lang w:val="en-US" w:eastAsia="zh-CN"/>
        </w:rPr>
        <w:t>评价小组对屯昌法院提供的被评价项目相关的预决算资料、资金支出情况抽查、2020年案件处理情况登记表进行核查，同时实地对存档案卷进行现场抽查，资金整体使用状况良好，与上一预算年度同期比较，在案件量不断增长，人员不变的情况下充分发挥预算资金的保障作用，极大提高案件审判工作的效率。</w:t>
      </w:r>
    </w:p>
    <w:p>
      <w:pPr>
        <w:numPr>
          <w:ilvl w:val="0"/>
          <w:numId w:val="1"/>
        </w:numPr>
        <w:ind w:firstLine="602" w:firstLineChars="200"/>
        <w:outlineLvl w:val="0"/>
        <w:rPr>
          <w:rFonts w:hint="eastAsia" w:ascii="仿宋_GB2312" w:hAnsi="仿宋_GB2312" w:eastAsia="仿宋_GB2312" w:cs="仿宋_GB2312"/>
          <w:b w:val="0"/>
          <w:bCs w:val="0"/>
          <w:i/>
          <w:iCs/>
          <w:color w:val="000000" w:themeColor="text1"/>
          <w:szCs w:val="32"/>
          <w:highlight w:val="none"/>
          <w:lang w:eastAsia="zh-CN"/>
        </w:rPr>
      </w:pPr>
      <w:r>
        <w:rPr>
          <w:rFonts w:hint="eastAsia" w:ascii="楷体_GB2312" w:hAnsi="楷体_GB2312" w:eastAsia="楷体_GB2312" w:cs="楷体_GB2312"/>
          <w:b/>
          <w:bCs/>
          <w:color w:val="000000" w:themeColor="text1"/>
          <w:szCs w:val="32"/>
          <w:highlight w:val="none"/>
        </w:rPr>
        <w:t>总体绩效目标完成情况分析。</w:t>
      </w:r>
    </w:p>
    <w:p>
      <w:pPr>
        <w:numPr>
          <w:ilvl w:val="0"/>
          <w:numId w:val="0"/>
        </w:numPr>
        <w:outlineLvl w:val="0"/>
        <w:rPr>
          <w:rFonts w:hint="eastAsia" w:ascii="仿宋_GB2312" w:hAnsi="仿宋_GB2312" w:eastAsia="仿宋_GB2312" w:cs="仿宋_GB2312"/>
          <w:b w:val="0"/>
          <w:bCs w:val="0"/>
          <w:i/>
          <w:iCs/>
          <w:color w:val="000000" w:themeColor="text1"/>
          <w:szCs w:val="32"/>
          <w:highlight w:val="none"/>
          <w:lang w:eastAsia="zh-CN"/>
        </w:rPr>
      </w:pPr>
      <w:r>
        <w:rPr>
          <w:rFonts w:hint="eastAsia" w:ascii="仿宋_GB2312" w:hAnsi="仿宋_GB2312" w:cs="仿宋_GB2312"/>
          <w:b w:val="0"/>
          <w:bCs w:val="0"/>
          <w:color w:val="000000" w:themeColor="text1"/>
          <w:szCs w:val="32"/>
          <w:highlight w:val="none"/>
          <w:lang w:eastAsia="zh-CN"/>
        </w:rPr>
        <w:t>　　</w:t>
      </w:r>
      <w:r>
        <w:rPr>
          <w:rFonts w:hint="eastAsia" w:ascii="仿宋_GB2312" w:hAnsi="仿宋_GB2312" w:eastAsia="仿宋_GB2312" w:cs="仿宋_GB2312"/>
          <w:bCs/>
          <w:kern w:val="2"/>
          <w:sz w:val="30"/>
          <w:szCs w:val="32"/>
          <w:lang w:val="en-US" w:eastAsia="zh-CN" w:bidi="ar-SA"/>
        </w:rPr>
        <w:t>被评价项目预算年度内完成率</w:t>
      </w:r>
      <w:r>
        <w:rPr>
          <w:rFonts w:hint="eastAsia" w:ascii="仿宋_GB2312" w:hAnsi="仿宋_GB2312" w:cs="仿宋_GB2312"/>
          <w:bCs/>
          <w:kern w:val="2"/>
          <w:sz w:val="30"/>
          <w:szCs w:val="32"/>
          <w:lang w:val="en-US" w:eastAsia="zh-CN" w:bidi="ar-SA"/>
        </w:rPr>
        <w:t>95.40</w:t>
      </w:r>
      <w:r>
        <w:rPr>
          <w:rFonts w:hint="eastAsia" w:ascii="仿宋_GB2312" w:hAnsi="仿宋_GB2312" w:eastAsia="仿宋_GB2312" w:cs="仿宋_GB2312"/>
          <w:bCs/>
          <w:kern w:val="2"/>
          <w:sz w:val="30"/>
          <w:szCs w:val="32"/>
          <w:lang w:val="en-US" w:eastAsia="zh-CN" w:bidi="ar-SA"/>
        </w:rPr>
        <w:t>%，</w:t>
      </w:r>
      <w:r>
        <w:rPr>
          <w:rFonts w:hint="eastAsia" w:ascii="仿宋_GB2312" w:hAnsi="仿宋_GB2312" w:cs="仿宋_GB2312"/>
          <w:b w:val="0"/>
          <w:bCs w:val="0"/>
          <w:color w:val="000000" w:themeColor="text1"/>
          <w:szCs w:val="32"/>
          <w:highlight w:val="none"/>
          <w:lang w:eastAsia="zh-CN"/>
        </w:rPr>
        <w:t>已审案件</w:t>
      </w:r>
      <w:r>
        <w:rPr>
          <w:rFonts w:hint="eastAsia" w:ascii="仿宋_GB2312" w:hAnsi="仿宋_GB2312" w:cs="仿宋_GB2312"/>
          <w:b w:val="0"/>
          <w:bCs w:val="0"/>
          <w:color w:val="000000" w:themeColor="text1"/>
          <w:szCs w:val="32"/>
          <w:highlight w:val="none"/>
          <w:lang w:val="en-US" w:eastAsia="zh-CN"/>
        </w:rPr>
        <w:t>2件司法确认案件外均按时或提前结案，各项预算目标基本完成，项目预算目标完成度较高。</w:t>
      </w:r>
    </w:p>
    <w:p>
      <w:pPr>
        <w:numPr>
          <w:ilvl w:val="0"/>
          <w:numId w:val="1"/>
        </w:numPr>
        <w:ind w:firstLine="602" w:firstLineChars="200"/>
        <w:outlineLvl w:val="0"/>
        <w:rPr>
          <w:rFonts w:hint="eastAsia" w:ascii="仿宋_GB2312"/>
          <w:color w:val="000000" w:themeColor="text1"/>
          <w:szCs w:val="32"/>
          <w:highlight w:val="none"/>
        </w:rPr>
      </w:pPr>
      <w:r>
        <w:rPr>
          <w:rFonts w:hint="eastAsia" w:ascii="楷体_GB2312" w:hAnsi="楷体_GB2312" w:eastAsia="楷体_GB2312" w:cs="楷体_GB2312"/>
          <w:b/>
          <w:bCs/>
          <w:color w:val="000000" w:themeColor="text1"/>
          <w:szCs w:val="32"/>
          <w:highlight w:val="none"/>
        </w:rPr>
        <w:t>绩效指标完成情况分析。</w:t>
      </w:r>
    </w:p>
    <w:p>
      <w:pPr>
        <w:ind w:firstLine="600" w:firstLineChars="200"/>
        <w:rPr>
          <w:rFonts w:ascii="仿宋_GB2312"/>
          <w:szCs w:val="32"/>
        </w:rPr>
      </w:pPr>
      <w:r>
        <w:rPr>
          <w:rFonts w:hint="eastAsia" w:ascii="仿宋_GB2312"/>
          <w:szCs w:val="32"/>
        </w:rPr>
        <w:t>1.产出指标完成情况分析。</w:t>
      </w:r>
    </w:p>
    <w:p>
      <w:pPr>
        <w:ind w:firstLine="600" w:firstLineChars="200"/>
        <w:rPr>
          <w:rFonts w:hint="eastAsia" w:ascii="仿宋_GB2312"/>
          <w:szCs w:val="32"/>
        </w:rPr>
      </w:pPr>
      <w:r>
        <w:rPr>
          <w:rFonts w:hint="eastAsia" w:ascii="仿宋_GB2312"/>
          <w:szCs w:val="32"/>
        </w:rPr>
        <w:t>（1）项目完成数量。</w:t>
      </w:r>
    </w:p>
    <w:p>
      <w:pPr>
        <w:numPr>
          <w:ilvl w:val="0"/>
          <w:numId w:val="0"/>
        </w:numPr>
        <w:spacing w:line="578" w:lineRule="exact"/>
        <w:ind w:firstLine="600" w:firstLineChars="200"/>
        <w:rPr>
          <w:rFonts w:hint="eastAsia" w:ascii="仿宋_GB2312"/>
          <w:szCs w:val="32"/>
          <w:lang w:val="en-US" w:eastAsia="zh-CN"/>
        </w:rPr>
      </w:pPr>
      <w:r>
        <w:rPr>
          <w:rFonts w:hint="eastAsia" w:ascii="仿宋_GB2312"/>
          <w:szCs w:val="32"/>
          <w:lang w:val="en-US" w:eastAsia="zh-CN"/>
        </w:rPr>
        <w:t>项目完成数量为3个，办案款、装备款、司法救助。</w:t>
      </w:r>
    </w:p>
    <w:p>
      <w:pPr>
        <w:numPr>
          <w:ilvl w:val="0"/>
          <w:numId w:val="2"/>
        </w:numPr>
        <w:ind w:firstLine="600" w:firstLineChars="200"/>
        <w:rPr>
          <w:rFonts w:hint="eastAsia" w:ascii="仿宋_GB2312"/>
          <w:szCs w:val="32"/>
        </w:rPr>
      </w:pPr>
      <w:r>
        <w:rPr>
          <w:rFonts w:hint="eastAsia" w:ascii="仿宋_GB2312"/>
          <w:szCs w:val="32"/>
        </w:rPr>
        <w:t>项目完成质量。</w:t>
      </w:r>
    </w:p>
    <w:p>
      <w:pPr>
        <w:numPr>
          <w:ilvl w:val="0"/>
          <w:numId w:val="0"/>
        </w:numPr>
        <w:spacing w:line="578" w:lineRule="exact"/>
        <w:rPr>
          <w:rFonts w:hint="eastAsia" w:ascii="仿宋_GB2312"/>
          <w:szCs w:val="32"/>
          <w:lang w:eastAsia="zh-CN"/>
        </w:rPr>
      </w:pPr>
      <w:r>
        <w:rPr>
          <w:rFonts w:hint="eastAsia" w:ascii="仿宋_GB2312"/>
          <w:szCs w:val="32"/>
          <w:lang w:val="en-US" w:eastAsia="zh-CN"/>
        </w:rPr>
        <w:t xml:space="preserve">    项目实施严格按照预算执行，在预算年度及时完成，完成质量良好。对项目内分项目实行规范化管理，逐个分析各项成本情况，结合财政法规，充分发挥财务人员专业知识及主观能动，在整体控制上达到预期效果。</w:t>
      </w:r>
    </w:p>
    <w:p>
      <w:pPr>
        <w:numPr>
          <w:ilvl w:val="0"/>
          <w:numId w:val="2"/>
        </w:numPr>
        <w:ind w:firstLine="600" w:firstLineChars="200"/>
        <w:rPr>
          <w:rFonts w:hint="eastAsia" w:ascii="仿宋_GB2312"/>
          <w:szCs w:val="32"/>
        </w:rPr>
      </w:pPr>
      <w:r>
        <w:rPr>
          <w:rFonts w:hint="eastAsia" w:ascii="仿宋_GB2312"/>
          <w:szCs w:val="32"/>
        </w:rPr>
        <w:t>项目实施进度。</w:t>
      </w:r>
    </w:p>
    <w:p>
      <w:pPr>
        <w:ind w:firstLine="600" w:firstLineChars="200"/>
        <w:outlineLvl w:val="0"/>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2020年屯昌法院政法经费项目预算589.04万元纳入部门预算，实际支出561.93万元，主要用于与案件审判项目相关支出，资金支付率95.40%。</w:t>
      </w:r>
    </w:p>
    <w:p>
      <w:pPr>
        <w:numPr>
          <w:ilvl w:val="0"/>
          <w:numId w:val="2"/>
        </w:numPr>
        <w:ind w:firstLine="600" w:firstLineChars="200"/>
        <w:rPr>
          <w:rFonts w:hint="eastAsia" w:ascii="仿宋_GB2312"/>
          <w:szCs w:val="32"/>
        </w:rPr>
      </w:pPr>
      <w:r>
        <w:rPr>
          <w:rFonts w:hint="eastAsia" w:ascii="仿宋_GB2312"/>
          <w:szCs w:val="32"/>
        </w:rPr>
        <w:t>项目成本节约情况。</w:t>
      </w:r>
    </w:p>
    <w:p>
      <w:pPr>
        <w:ind w:firstLine="600" w:firstLineChars="200"/>
        <w:outlineLvl w:val="0"/>
        <w:rPr>
          <w:rFonts w:hint="eastAsia" w:ascii="仿宋_GB2312" w:hAnsi="仿宋_GB2312" w:cs="仿宋_GB2312"/>
          <w:bCs/>
          <w:szCs w:val="32"/>
          <w:lang w:val="en-US" w:eastAsia="zh-CN"/>
        </w:rPr>
      </w:pPr>
      <w:r>
        <w:rPr>
          <w:rFonts w:hint="eastAsia" w:ascii="仿宋_GB2312" w:hAnsi="仿宋_GB2312" w:cs="仿宋_GB2312"/>
          <w:bCs/>
          <w:szCs w:val="32"/>
          <w:lang w:val="en-US" w:eastAsia="zh-CN"/>
        </w:rPr>
        <w:t>在中央及省委厉行节约精神的要求下，本着高效节约的原则，控制项目实施过程，按照财务制服相关要求，对每一项支出严格把关，避免不必要的浪费，有效节约了项目成本，提高资金使用效率。</w:t>
      </w:r>
    </w:p>
    <w:p>
      <w:pPr>
        <w:numPr>
          <w:numId w:val="0"/>
        </w:numPr>
        <w:outlineLvl w:val="0"/>
        <w:rPr>
          <w:rFonts w:hint="eastAsia" w:ascii="仿宋_GB2312"/>
          <w:color w:val="000000" w:themeColor="text1"/>
          <w:szCs w:val="32"/>
          <w:highlight w:val="yellow"/>
        </w:rPr>
      </w:pPr>
    </w:p>
    <w:p>
      <w:pPr>
        <w:numPr>
          <w:ilvl w:val="0"/>
          <w:numId w:val="3"/>
        </w:numPr>
        <w:ind w:firstLine="600"/>
        <w:outlineLvl w:val="0"/>
        <w:rPr>
          <w:rFonts w:hint="eastAsia" w:ascii="仿宋_GB2312"/>
          <w:color w:val="000000" w:themeColor="text1"/>
          <w:szCs w:val="32"/>
          <w:highlight w:val="none"/>
          <w:lang w:val="en-US" w:eastAsia="zh-CN"/>
        </w:rPr>
      </w:pPr>
      <w:r>
        <w:rPr>
          <w:rFonts w:hint="eastAsia" w:ascii="仿宋_GB2312"/>
          <w:color w:val="000000" w:themeColor="text1"/>
          <w:szCs w:val="32"/>
          <w:highlight w:val="none"/>
          <w:lang w:val="en-US" w:eastAsia="zh-CN"/>
        </w:rPr>
        <w:t>效益指标完成情况分析</w:t>
      </w:r>
    </w:p>
    <w:p>
      <w:pPr>
        <w:ind w:firstLine="600" w:firstLineChars="200"/>
        <w:rPr>
          <w:rFonts w:hint="eastAsia" w:ascii="仿宋_GB2312"/>
          <w:szCs w:val="32"/>
        </w:rPr>
      </w:pPr>
      <w:r>
        <w:rPr>
          <w:rFonts w:hint="eastAsia" w:ascii="仿宋_GB2312"/>
          <w:szCs w:val="32"/>
        </w:rPr>
        <w:t>（1）项目实施的经济效益分析。</w:t>
      </w:r>
    </w:p>
    <w:p>
      <w:pPr>
        <w:ind w:firstLine="600" w:firstLineChars="200"/>
        <w:rPr>
          <w:rFonts w:hint="eastAsia" w:ascii="仿宋_GB2312"/>
          <w:szCs w:val="32"/>
          <w:lang w:val="en-US" w:eastAsia="zh-CN"/>
        </w:rPr>
      </w:pPr>
      <w:r>
        <w:rPr>
          <w:rFonts w:hint="eastAsia" w:ascii="仿宋_GB2312"/>
          <w:szCs w:val="32"/>
          <w:lang w:val="en-US" w:eastAsia="zh-CN"/>
        </w:rPr>
        <w:t xml:space="preserve"> 此项目按照预算批复指标逐项实施完成，支出进度与预算年度一致。</w:t>
      </w:r>
    </w:p>
    <w:p>
      <w:pPr>
        <w:numPr>
          <w:ilvl w:val="0"/>
          <w:numId w:val="0"/>
        </w:numPr>
        <w:ind w:firstLine="600"/>
        <w:outlineLvl w:val="0"/>
        <w:rPr>
          <w:rFonts w:hint="eastAsia" w:ascii="仿宋_GB2312"/>
          <w:color w:val="000000" w:themeColor="text1"/>
          <w:szCs w:val="32"/>
          <w:highlight w:val="none"/>
          <w:lang w:val="en-US" w:eastAsia="zh-CN"/>
        </w:rPr>
      </w:pPr>
      <w:r>
        <w:rPr>
          <w:rFonts w:hint="eastAsia" w:ascii="仿宋_GB2312"/>
          <w:color w:val="000000" w:themeColor="text1"/>
          <w:szCs w:val="32"/>
          <w:highlight w:val="none"/>
          <w:lang w:val="en-US" w:eastAsia="zh-CN"/>
        </w:rPr>
        <w:t>（2）项目实施的社会效益析。</w:t>
      </w:r>
    </w:p>
    <w:p>
      <w:pPr>
        <w:ind w:firstLine="600" w:firstLineChars="200"/>
        <w:rPr>
          <w:rFonts w:hint="eastAsia" w:ascii="仿宋_GB2312"/>
          <w:szCs w:val="32"/>
        </w:rPr>
      </w:pPr>
      <w:r>
        <w:rPr>
          <w:rFonts w:hint="eastAsia" w:ascii="仿宋_GB2312"/>
          <w:szCs w:val="32"/>
          <w:lang w:val="en-US" w:eastAsia="zh-CN"/>
        </w:rPr>
        <w:t>被评价项目</w:t>
      </w:r>
      <w:r>
        <w:rPr>
          <w:rFonts w:hint="eastAsia" w:ascii="仿宋_GB2312"/>
          <w:szCs w:val="32"/>
        </w:rPr>
        <w:t>的正常运行，</w:t>
      </w:r>
      <w:r>
        <w:rPr>
          <w:rFonts w:hint="eastAsia" w:ascii="仿宋_GB2312"/>
          <w:szCs w:val="32"/>
          <w:lang w:val="en-US" w:eastAsia="zh-CN"/>
        </w:rPr>
        <w:t>满足了经济新常态下人民群众的</w:t>
      </w:r>
      <w:r>
        <w:rPr>
          <w:rFonts w:hint="eastAsia" w:ascii="仿宋_GB2312"/>
          <w:szCs w:val="32"/>
        </w:rPr>
        <w:t>司法需求，</w:t>
      </w:r>
      <w:r>
        <w:rPr>
          <w:rFonts w:hint="eastAsia" w:ascii="仿宋_GB2312"/>
          <w:szCs w:val="32"/>
          <w:lang w:val="en-US" w:eastAsia="zh-CN"/>
        </w:rPr>
        <w:t>保障了当地的经济秩序</w:t>
      </w:r>
      <w:r>
        <w:rPr>
          <w:rFonts w:hint="eastAsia" w:ascii="仿宋_GB2312"/>
          <w:szCs w:val="32"/>
        </w:rPr>
        <w:t>，</w:t>
      </w:r>
      <w:r>
        <w:rPr>
          <w:rFonts w:hint="eastAsia" w:ascii="仿宋_GB2312"/>
          <w:szCs w:val="32"/>
          <w:lang w:val="en-US" w:eastAsia="zh-CN"/>
        </w:rPr>
        <w:t>维护了当地社会治安的稳定，为屯昌县经济持续快速发展提供了良好的司法保障</w:t>
      </w:r>
      <w:r>
        <w:rPr>
          <w:rFonts w:hint="eastAsia" w:ascii="仿宋_GB2312"/>
          <w:szCs w:val="32"/>
        </w:rPr>
        <w:t>。</w:t>
      </w:r>
    </w:p>
    <w:p>
      <w:pPr>
        <w:numPr>
          <w:ilvl w:val="0"/>
          <w:numId w:val="4"/>
        </w:numPr>
        <w:ind w:firstLine="600" w:firstLineChars="200"/>
        <w:rPr>
          <w:rFonts w:hint="eastAsia" w:ascii="仿宋_GB2312"/>
          <w:szCs w:val="32"/>
        </w:rPr>
      </w:pPr>
      <w:r>
        <w:rPr>
          <w:rFonts w:hint="eastAsia" w:ascii="仿宋_GB2312"/>
          <w:szCs w:val="32"/>
        </w:rPr>
        <w:t>项目实施的生态效益分析。</w:t>
      </w:r>
    </w:p>
    <w:p>
      <w:pPr>
        <w:numPr>
          <w:ilvl w:val="0"/>
          <w:numId w:val="0"/>
        </w:numPr>
        <w:spacing w:line="578" w:lineRule="exact"/>
        <w:ind w:firstLine="600" w:firstLineChars="200"/>
        <w:outlineLvl w:val="0"/>
        <w:rPr>
          <w:rFonts w:hint="eastAsia" w:ascii="楷体_GB2312" w:eastAsia="楷体_GB2312"/>
          <w:bCs/>
          <w:color w:val="000000"/>
          <w:lang w:val="en-US" w:eastAsia="zh-CN"/>
        </w:rPr>
      </w:pPr>
      <w:r>
        <w:rPr>
          <w:rFonts w:hint="eastAsia" w:ascii="仿宋_GB2312"/>
          <w:szCs w:val="32"/>
          <w:lang w:val="en-US" w:eastAsia="zh-CN"/>
        </w:rPr>
        <w:t>各类审判工作成效明显，有效地维护了海南中部地区社会稳定，经济发展和人民安居乐业。为地区经济社会发展提供了持续有力的司法保障与支持。</w:t>
      </w:r>
    </w:p>
    <w:p>
      <w:pPr>
        <w:ind w:firstLine="600" w:firstLineChars="200"/>
        <w:rPr>
          <w:rFonts w:hint="eastAsia" w:ascii="仿宋_GB2312"/>
          <w:szCs w:val="32"/>
        </w:rPr>
      </w:pPr>
      <w:r>
        <w:rPr>
          <w:rFonts w:hint="eastAsia" w:ascii="仿宋_GB2312"/>
          <w:szCs w:val="32"/>
        </w:rPr>
        <w:t>（4）项目实施的可持续影响分析。</w:t>
      </w:r>
    </w:p>
    <w:p>
      <w:pPr>
        <w:numPr>
          <w:ilvl w:val="0"/>
          <w:numId w:val="0"/>
        </w:numPr>
        <w:spacing w:line="578" w:lineRule="exact"/>
        <w:ind w:firstLine="600" w:firstLineChars="200"/>
        <w:outlineLvl w:val="0"/>
        <w:rPr>
          <w:rFonts w:hint="eastAsia" w:ascii="仿宋_GB2312"/>
          <w:szCs w:val="32"/>
          <w:lang w:val="en-US" w:eastAsia="zh-CN"/>
        </w:rPr>
      </w:pPr>
      <w:r>
        <w:rPr>
          <w:rFonts w:hint="eastAsia" w:ascii="仿宋_GB2312"/>
          <w:szCs w:val="32"/>
          <w:lang w:val="en-US" w:eastAsia="zh-CN"/>
        </w:rPr>
        <w:t>被评价项目的顺利实施完成，表明屯昌法院具有较好的项目实施基础，具有稳定的人员队伍，随着案件审判业务的开展及司法体制改革带来各项财政政策的完善，此预算项目将更加有效促进各项案件审判业务的持续发展。</w:t>
      </w:r>
    </w:p>
    <w:p>
      <w:pPr>
        <w:numPr>
          <w:ilvl w:val="0"/>
          <w:numId w:val="5"/>
        </w:numPr>
        <w:ind w:firstLine="600" w:firstLineChars="200"/>
        <w:rPr>
          <w:rFonts w:hint="eastAsia" w:ascii="仿宋_GB2312"/>
          <w:szCs w:val="32"/>
        </w:rPr>
      </w:pPr>
      <w:r>
        <w:rPr>
          <w:rFonts w:hint="eastAsia" w:ascii="仿宋_GB2312"/>
          <w:szCs w:val="32"/>
        </w:rPr>
        <w:t>满意度指标完成情况分析。</w:t>
      </w:r>
    </w:p>
    <w:p>
      <w:pPr>
        <w:numPr>
          <w:ilvl w:val="0"/>
          <w:numId w:val="0"/>
        </w:numPr>
        <w:spacing w:line="578" w:lineRule="exact"/>
        <w:ind w:firstLine="600" w:firstLineChars="200"/>
        <w:outlineLvl w:val="0"/>
        <w:rPr>
          <w:rFonts w:hint="eastAsia" w:ascii="仿宋_GB2312"/>
          <w:color w:val="000000" w:themeColor="text1"/>
          <w:szCs w:val="32"/>
          <w:highlight w:val="none"/>
          <w:lang w:val="en-US" w:eastAsia="zh-CN"/>
        </w:rPr>
      </w:pPr>
      <w:r>
        <w:rPr>
          <w:rFonts w:hint="eastAsia" w:ascii="仿宋_GB2312"/>
          <w:szCs w:val="32"/>
          <w:lang w:val="en-US" w:eastAsia="zh-CN"/>
        </w:rPr>
        <w:t>案件审判需要社会的认知，当事人对办理案件的满意程度要求到达100%。</w:t>
      </w:r>
    </w:p>
    <w:p>
      <w:pPr>
        <w:ind w:firstLine="600" w:firstLineChars="200"/>
        <w:rPr>
          <w:rFonts w:ascii="仿宋_GB2312"/>
          <w:color w:val="000000" w:themeColor="text1"/>
          <w:szCs w:val="32"/>
          <w:highlight w:val="none"/>
        </w:rPr>
      </w:pPr>
      <w:r>
        <w:rPr>
          <w:rFonts w:hint="eastAsia" w:ascii="黑体" w:hAnsi="黑体" w:eastAsia="黑体" w:cs="黑体"/>
          <w:bCs/>
          <w:color w:val="000000" w:themeColor="text1"/>
          <w:szCs w:val="32"/>
          <w:highlight w:val="none"/>
        </w:rPr>
        <w:t>三、偏离绩效目标的原因和下一步改进措施</w:t>
      </w:r>
    </w:p>
    <w:p>
      <w:pPr>
        <w:ind w:firstLine="600" w:firstLineChars="200"/>
        <w:rPr>
          <w:rFonts w:hint="eastAsia" w:ascii="仿宋_GB2312"/>
          <w:szCs w:val="32"/>
          <w:lang w:val="en-US" w:eastAsia="zh-CN"/>
        </w:rPr>
      </w:pPr>
      <w:r>
        <w:rPr>
          <w:rFonts w:hint="eastAsia" w:ascii="仿宋_GB2312"/>
          <w:szCs w:val="32"/>
          <w:lang w:val="en-US" w:eastAsia="zh-CN"/>
        </w:rPr>
        <w:t>在项目实施过程中，我单位高度重视，分管副院长负责，财务室负责具体项目实施，各岗位人员各司其职，最终圆满完成年度预算计划，有力保障了单位全年审判工作，在屯昌地区产生了良好的司法效果，化解大量社会矛盾，彰显了公平正义。</w:t>
      </w:r>
    </w:p>
    <w:p>
      <w:pPr>
        <w:ind w:firstLine="600" w:firstLineChars="200"/>
        <w:rPr>
          <w:rFonts w:hint="eastAsia" w:ascii="仿宋_GB2312"/>
          <w:szCs w:val="32"/>
          <w:lang w:val="en-US" w:eastAsia="zh-CN"/>
        </w:rPr>
      </w:pPr>
      <w:r>
        <w:rPr>
          <w:rFonts w:hint="eastAsia" w:ascii="仿宋_GB2312"/>
          <w:szCs w:val="32"/>
          <w:lang w:val="en-US" w:eastAsia="zh-CN"/>
        </w:rPr>
        <w:t xml:space="preserve"> 我单位将继续秉承上年度预算项目管理有益经验，改进工作中的不足，使预算资金使用更加科学合理，节约效能，通过预算项目合理支出为海南司法事业增添阻力。</w:t>
      </w:r>
    </w:p>
    <w:p>
      <w:pPr>
        <w:numPr>
          <w:ilvl w:val="0"/>
          <w:numId w:val="6"/>
        </w:numPr>
        <w:ind w:firstLine="600" w:firstLineChars="200"/>
        <w:rPr>
          <w:rFonts w:hint="eastAsia" w:ascii="黑体" w:hAnsi="黑体" w:eastAsia="黑体" w:cs="黑体"/>
          <w:bCs/>
          <w:szCs w:val="32"/>
        </w:rPr>
      </w:pPr>
      <w:r>
        <w:rPr>
          <w:rFonts w:hint="eastAsia" w:ascii="黑体" w:hAnsi="黑体" w:eastAsia="黑体" w:cs="黑体"/>
          <w:bCs/>
          <w:szCs w:val="32"/>
        </w:rPr>
        <w:t>绩效自评结果拟应用和公开情况</w:t>
      </w:r>
    </w:p>
    <w:p>
      <w:pPr>
        <w:ind w:firstLine="600" w:firstLineChars="200"/>
        <w:rPr>
          <w:rFonts w:hint="eastAsia" w:ascii="黑体" w:hAnsi="黑体" w:eastAsia="黑体" w:cs="黑体"/>
          <w:bCs/>
          <w:szCs w:val="32"/>
        </w:rPr>
      </w:pPr>
      <w:r>
        <w:rPr>
          <w:rFonts w:hint="eastAsia" w:ascii="仿宋_GB2312"/>
          <w:szCs w:val="32"/>
          <w:lang w:eastAsia="zh-CN"/>
        </w:rPr>
        <w:t>绩效自评结果将指导屯昌法院更加规范和合理以及有效率的使用财政资金。自评结果在本院门户网上公开，以便公众查阅。</w:t>
      </w:r>
    </w:p>
    <w:p>
      <w:pPr>
        <w:ind w:firstLine="600" w:firstLineChars="200"/>
        <w:rPr>
          <w:rFonts w:ascii="黑体" w:hAnsi="黑体" w:eastAsia="黑体" w:cs="黑体"/>
          <w:bCs/>
          <w:szCs w:val="32"/>
        </w:rPr>
      </w:pPr>
      <w:r>
        <w:rPr>
          <w:rFonts w:hint="eastAsia" w:ascii="黑体" w:hAnsi="黑体" w:eastAsia="黑体" w:cs="黑体"/>
          <w:bCs/>
          <w:szCs w:val="32"/>
        </w:rPr>
        <w:t>五、其他需要说明的问题</w:t>
      </w:r>
    </w:p>
    <w:p>
      <w:pPr>
        <w:ind w:firstLine="600" w:firstLineChars="200"/>
        <w:rPr>
          <w:rFonts w:hint="eastAsia"/>
          <w:lang w:eastAsia="zh-CN"/>
        </w:rPr>
      </w:pPr>
      <w:r>
        <w:rPr>
          <w:rFonts w:hint="eastAsia"/>
          <w:lang w:eastAsia="zh-CN"/>
        </w:rPr>
        <w:t>无</w:t>
      </w:r>
    </w:p>
    <w:p>
      <w:pPr>
        <w:ind w:firstLine="600" w:firstLineChars="200"/>
      </w:pPr>
      <w:r>
        <w:rPr>
          <w:rFonts w:hint="eastAsia"/>
        </w:rPr>
        <w:t>附：转移支付区域（项目）绩效目标自评表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roman"/>
    <w:pitch w:val="default"/>
    <w:sig w:usb0="00000001" w:usb1="080E0000" w:usb2="00000000" w:usb3="00000000" w:csb0="00040000" w:csb1="00000000"/>
  </w:font>
  <w:font w:name="文泉驿正黑">
    <w:altName w:val="黑体"/>
    <w:panose1 w:val="02000603000000000000"/>
    <w:charset w:val="86"/>
    <w:family w:val="auto"/>
    <w:pitch w:val="default"/>
    <w:sig w:usb0="00000000" w:usb1="00000000" w:usb2="00000036" w:usb3="00000000" w:csb0="603E000D" w:csb1="D2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decorative"/>
    <w:pitch w:val="default"/>
    <w:sig w:usb0="A00002EF" w:usb1="4000207B" w:usb2="00000000" w:usb3="00000000" w:csb0="2000019F" w:csb1="00000000"/>
  </w:font>
  <w:font w:name="ˎ̥">
    <w:altName w:val="Times New Roman"/>
    <w:panose1 w:val="00000000000000000000"/>
    <w:charset w:val="01"/>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Agency FB">
    <w:panose1 w:val="020B0503020202020204"/>
    <w:charset w:val="00"/>
    <w:family w:val="auto"/>
    <w:pitch w:val="default"/>
    <w:sig w:usb0="00000003" w:usb1="00000000" w:usb2="00000000" w:usb3="00000000" w:csb0="20000001" w:csb1="0000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icrosoft Sans Serif">
    <w:panose1 w:val="020B0604020202020204"/>
    <w:charset w:val="00"/>
    <w:family w:val="auto"/>
    <w:pitch w:val="default"/>
    <w:sig w:usb0="E1002AFF" w:usb1="C0000002" w:usb2="00000008" w:usb3="00000000" w:csb0="200101FF" w:csb1="20280000"/>
  </w:font>
  <w:font w:name="NumberOnly">
    <w:altName w:val="Vani"/>
    <w:panose1 w:val="020B0500000000000000"/>
    <w:charset w:val="00"/>
    <w:family w:val="auto"/>
    <w:pitch w:val="default"/>
    <w:sig w:usb0="00000000" w:usb1="00000000" w:usb2="00000000" w:usb3="00000000" w:csb0="00000111" w:csb1="4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ani">
    <w:panose1 w:val="020B0502040204020203"/>
    <w:charset w:val="00"/>
    <w:family w:val="auto"/>
    <w:pitch w:val="default"/>
    <w:sig w:usb0="002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Arial">
    <w:panose1 w:val="020B06040202020202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ˎ̥">
    <w:altName w:val="Times New Roman"/>
    <w:panose1 w:val="00000000000000000000"/>
    <w:charset w:val="01"/>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新宋体">
    <w:panose1 w:val="02010609030101010101"/>
    <w:charset w:val="86"/>
    <w:family w:val="decorative"/>
    <w:pitch w:val="default"/>
    <w:sig w:usb0="00000003" w:usb1="288F0000" w:usb2="00000006" w:usb3="00000000" w:csb0="00040001" w:csb1="00000000"/>
  </w:font>
  <w:font w:name="Calibri Light">
    <w:panose1 w:val="020F0302020204030204"/>
    <w:charset w:val="00"/>
    <w:family w:val="roman"/>
    <w:pitch w:val="default"/>
    <w:sig w:usb0="A00002EF" w:usb1="4000207B" w:usb2="00000000" w:usb3="00000000" w:csb0="2000019F" w:csb1="00000000"/>
  </w:font>
  <w:font w:name="ˎ̥">
    <w:altName w:val="Times New Roman"/>
    <w:panose1 w:val="00000000000000000000"/>
    <w:charset w:val="01"/>
    <w:family w:val="swiss"/>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6916795">
    <w:nsid w:val="5E966DBB"/>
    <w:multiLevelType w:val="singleLevel"/>
    <w:tmpl w:val="5E966DBB"/>
    <w:lvl w:ilvl="0" w:tentative="1">
      <w:start w:val="3"/>
      <w:numFmt w:val="decimal"/>
      <w:suff w:val="nothing"/>
      <w:lvlText w:val="%1."/>
      <w:lvlJc w:val="left"/>
    </w:lvl>
  </w:abstractNum>
  <w:abstractNum w:abstractNumId="1586916550">
    <w:nsid w:val="5E966CC6"/>
    <w:multiLevelType w:val="singleLevel"/>
    <w:tmpl w:val="5E966CC6"/>
    <w:lvl w:ilvl="0" w:tentative="1">
      <w:start w:val="3"/>
      <w:numFmt w:val="decimal"/>
      <w:suff w:val="nothing"/>
      <w:lvlText w:val="（%1）"/>
      <w:lvlJc w:val="left"/>
    </w:lvl>
  </w:abstractNum>
  <w:abstractNum w:abstractNumId="1615258931">
    <w:nsid w:val="6046E533"/>
    <w:multiLevelType w:val="singleLevel"/>
    <w:tmpl w:val="6046E533"/>
    <w:lvl w:ilvl="0" w:tentative="1">
      <w:start w:val="2"/>
      <w:numFmt w:val="chineseCounting"/>
      <w:suff w:val="nothing"/>
      <w:lvlText w:val="（%1）"/>
      <w:lvlJc w:val="left"/>
    </w:lvl>
  </w:abstractNum>
  <w:abstractNum w:abstractNumId="1614926173">
    <w:nsid w:val="6041D15D"/>
    <w:multiLevelType w:val="singleLevel"/>
    <w:tmpl w:val="6041D15D"/>
    <w:lvl w:ilvl="0" w:tentative="1">
      <w:start w:val="4"/>
      <w:numFmt w:val="chineseCounting"/>
      <w:suff w:val="nothing"/>
      <w:lvlText w:val="%1、"/>
      <w:lvlJc w:val="left"/>
    </w:lvl>
  </w:abstractNum>
  <w:abstractNum w:abstractNumId="1586915709">
    <w:nsid w:val="5E96697D"/>
    <w:multiLevelType w:val="singleLevel"/>
    <w:tmpl w:val="5E96697D"/>
    <w:lvl w:ilvl="0" w:tentative="1">
      <w:start w:val="2"/>
      <w:numFmt w:val="decimal"/>
      <w:suff w:val="nothing"/>
      <w:lvlText w:val="（%1）"/>
      <w:lvlJc w:val="left"/>
    </w:lvl>
  </w:abstractNum>
  <w:abstractNum w:abstractNumId="1615279049">
    <w:nsid w:val="604733C9"/>
    <w:multiLevelType w:val="singleLevel"/>
    <w:tmpl w:val="604733C9"/>
    <w:lvl w:ilvl="0" w:tentative="1">
      <w:start w:val="2"/>
      <w:numFmt w:val="decimal"/>
      <w:suff w:val="nothing"/>
      <w:lvlText w:val="%1、"/>
      <w:lvlJc w:val="left"/>
    </w:lvl>
  </w:abstractNum>
  <w:num w:numId="1">
    <w:abstractNumId w:val="1615258931"/>
  </w:num>
  <w:num w:numId="2">
    <w:abstractNumId w:val="1586915709"/>
  </w:num>
  <w:num w:numId="3">
    <w:abstractNumId w:val="1615279049"/>
  </w:num>
  <w:num w:numId="4">
    <w:abstractNumId w:val="1586916550"/>
  </w:num>
  <w:num w:numId="5">
    <w:abstractNumId w:val="1586916795"/>
  </w:num>
  <w:num w:numId="6">
    <w:abstractNumId w:val="16149261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37D0BC8"/>
    <w:rsid w:val="0845082D"/>
    <w:rsid w:val="09E965F2"/>
    <w:rsid w:val="0B023FA1"/>
    <w:rsid w:val="0C9D5935"/>
    <w:rsid w:val="137C7D1F"/>
    <w:rsid w:val="139840D3"/>
    <w:rsid w:val="143E091F"/>
    <w:rsid w:val="14865FC8"/>
    <w:rsid w:val="150C2DB0"/>
    <w:rsid w:val="1E761F05"/>
    <w:rsid w:val="1F7BE1E6"/>
    <w:rsid w:val="1FC7205C"/>
    <w:rsid w:val="228B3D05"/>
    <w:rsid w:val="284E74F8"/>
    <w:rsid w:val="2ADB48E8"/>
    <w:rsid w:val="36687282"/>
    <w:rsid w:val="38EF7AD8"/>
    <w:rsid w:val="3E1672E6"/>
    <w:rsid w:val="3EB9C2BB"/>
    <w:rsid w:val="401E23CD"/>
    <w:rsid w:val="415F08D8"/>
    <w:rsid w:val="44E2230F"/>
    <w:rsid w:val="45E54CFA"/>
    <w:rsid w:val="48B51347"/>
    <w:rsid w:val="491B45FA"/>
    <w:rsid w:val="49296E1E"/>
    <w:rsid w:val="4A55216A"/>
    <w:rsid w:val="4B876752"/>
    <w:rsid w:val="4EC536BE"/>
    <w:rsid w:val="4FE0696A"/>
    <w:rsid w:val="514774BF"/>
    <w:rsid w:val="546F8569"/>
    <w:rsid w:val="55673508"/>
    <w:rsid w:val="59595A6F"/>
    <w:rsid w:val="599330CA"/>
    <w:rsid w:val="5A7FCB1F"/>
    <w:rsid w:val="5FEAF7C9"/>
    <w:rsid w:val="60D5009F"/>
    <w:rsid w:val="643D485D"/>
    <w:rsid w:val="64AC2E11"/>
    <w:rsid w:val="660721C9"/>
    <w:rsid w:val="661E6C75"/>
    <w:rsid w:val="67F75FF5"/>
    <w:rsid w:val="681D4831"/>
    <w:rsid w:val="692E4B19"/>
    <w:rsid w:val="69513EF7"/>
    <w:rsid w:val="6BF3256F"/>
    <w:rsid w:val="6CE7018A"/>
    <w:rsid w:val="6E3E3F2D"/>
    <w:rsid w:val="715B2F02"/>
    <w:rsid w:val="76A548F2"/>
    <w:rsid w:val="7765772E"/>
    <w:rsid w:val="776F5E62"/>
    <w:rsid w:val="77867685"/>
    <w:rsid w:val="77B93A26"/>
    <w:rsid w:val="781F36B6"/>
    <w:rsid w:val="790627AD"/>
    <w:rsid w:val="7ADC59FA"/>
    <w:rsid w:val="7AFF2FC3"/>
    <w:rsid w:val="7BF6B4C5"/>
    <w:rsid w:val="7DDD794F"/>
    <w:rsid w:val="7FDE47D5"/>
    <w:rsid w:val="94BFC172"/>
    <w:rsid w:val="9BFA614C"/>
    <w:rsid w:val="BFBF52D7"/>
    <w:rsid w:val="DF6E82F1"/>
    <w:rsid w:val="F7FBEBBF"/>
    <w:rsid w:val="FDB538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99"/>
    <w:rPr>
      <w:rFonts w:eastAsia="仿宋_GB2312"/>
      <w:kern w:val="2"/>
      <w:sz w:val="18"/>
      <w:szCs w:val="18"/>
    </w:rPr>
  </w:style>
  <w:style w:type="character" w:customStyle="1" w:styleId="8">
    <w:name w:val="页眉 Char"/>
    <w:basedOn w:val="5"/>
    <w:link w:val="4"/>
    <w:qFormat/>
    <w:uiPriority w:val="0"/>
    <w:rPr>
      <w:rFonts w:eastAsia="仿宋_GB2312"/>
      <w:kern w:val="2"/>
      <w:sz w:val="18"/>
      <w:szCs w:val="18"/>
    </w:rPr>
  </w:style>
  <w:style w:type="character" w:customStyle="1" w:styleId="9">
    <w:name w:val="批注框文本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71</Words>
  <Characters>410</Characters>
  <Lines>3</Lines>
  <Paragraphs>1</Paragraphs>
  <ScaleCrop>false</ScaleCrop>
  <LinksUpToDate>false</LinksUpToDate>
  <CharactersWithSpaces>480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2019-02-13T14:26:00Z</dcterms:created>
  <dc:creator>lhn</dc:creator>
  <cp:lastModifiedBy>win7</cp:lastModifiedBy>
  <cp:lastPrinted>2021-03-09T08:30:30Z</cp:lastPrinted>
  <dcterms:modified xsi:type="dcterms:W3CDTF">2021-03-09T08:31:18Z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